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240C28">
        <w:rPr>
          <w:rFonts w:eastAsiaTheme="minorEastAsia"/>
          <w:bCs w:val="0"/>
          <w:caps/>
          <w:sz w:val="24"/>
          <w:szCs w:val="24"/>
          <w:lang w:val="ru-RU" w:eastAsia="ru-RU"/>
        </w:rPr>
        <w:t>ПОГПТ</w:t>
      </w:r>
      <w:r w:rsidR="00A91518">
        <w:rPr>
          <w:rFonts w:eastAsiaTheme="minorEastAsia"/>
          <w:bCs w:val="0"/>
          <w:caps/>
          <w:sz w:val="24"/>
          <w:szCs w:val="24"/>
          <w:lang w:val="ru-RU" w:eastAsia="ru-RU"/>
        </w:rPr>
        <w:t xml:space="preserve"> </w:t>
      </w:r>
      <w:r w:rsidR="000C6506">
        <w:rPr>
          <w:rFonts w:eastAsiaTheme="minorEastAsia"/>
          <w:bCs w:val="0"/>
          <w:caps/>
          <w:sz w:val="24"/>
          <w:szCs w:val="24"/>
          <w:lang w:val="ru-RU" w:eastAsia="ru-RU"/>
        </w:rPr>
        <w:t>ЛОТ № 4</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240C28">
        <w:rPr>
          <w:rFonts w:ascii="Times New Roman" w:hAnsi="Times New Roman" w:cs="Times New Roman"/>
          <w:sz w:val="24"/>
          <w:szCs w:val="24"/>
        </w:rPr>
        <w:t>ПОГПТ</w:t>
      </w:r>
      <w:r w:rsidR="00A91518">
        <w:rPr>
          <w:rFonts w:ascii="Times New Roman" w:hAnsi="Times New Roman" w:cs="Times New Roman"/>
          <w:sz w:val="24"/>
          <w:szCs w:val="24"/>
        </w:rPr>
        <w:t xml:space="preserve"> лот№</w:t>
      </w:r>
      <w:r w:rsidR="000C6506">
        <w:rPr>
          <w:rFonts w:ascii="Times New Roman" w:hAnsi="Times New Roman" w:cs="Times New Roman"/>
          <w:sz w:val="24"/>
          <w:szCs w:val="24"/>
        </w:rPr>
        <w:t>4</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254300">
        <w:rPr>
          <w:rFonts w:ascii="Times New Roman" w:eastAsia="Calibri" w:hAnsi="Times New Roman" w:cs="Times New Roman"/>
          <w:b/>
          <w:sz w:val="24"/>
          <w:szCs w:val="24"/>
        </w:rPr>
        <w:t>2 747 112,00</w:t>
      </w:r>
      <w:r w:rsidR="00142A6E" w:rsidRPr="00142A6E">
        <w:rPr>
          <w:rFonts w:ascii="Times New Roman" w:hAnsi="Times New Roman" w:cs="Times New Roman"/>
          <w:sz w:val="24"/>
          <w:szCs w:val="24"/>
        </w:rPr>
        <w:t xml:space="preserve"> </w:t>
      </w:r>
      <w:r w:rsidR="00DA0B08" w:rsidRPr="00142A6E">
        <w:rPr>
          <w:rFonts w:ascii="Times New Roman" w:eastAsia="Calibri" w:hAnsi="Times New Roman" w:cs="Times New Roman"/>
          <w:b/>
          <w:sz w:val="24"/>
          <w:szCs w:val="20"/>
        </w:rPr>
        <w:t>руб</w:t>
      </w:r>
      <w:r w:rsidR="00DA0B08" w:rsidRPr="00142A6E">
        <w:rPr>
          <w:rFonts w:ascii="Times New Roman" w:eastAsia="Calibri" w:hAnsi="Times New Roman" w:cs="Times New Roman"/>
          <w:b/>
          <w:sz w:val="20"/>
          <w:szCs w:val="20"/>
        </w:rPr>
        <w:t>.</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DA0B08">
        <w:rPr>
          <w:rFonts w:ascii="Times New Roman" w:hAnsi="Times New Roman" w:cs="Times New Roman"/>
          <w:sz w:val="24"/>
          <w:szCs w:val="24"/>
        </w:rPr>
        <w:t>размере</w:t>
      </w:r>
      <w:r w:rsidR="000817A8" w:rsidRPr="00DA0B08">
        <w:rPr>
          <w:rFonts w:ascii="Times New Roman" w:hAnsi="Times New Roman" w:cs="Times New Roman"/>
          <w:sz w:val="24"/>
          <w:szCs w:val="24"/>
        </w:rPr>
        <w:t xml:space="preserve">: </w:t>
      </w:r>
      <w:r w:rsidR="00254300">
        <w:rPr>
          <w:rFonts w:ascii="Times New Roman" w:hAnsi="Times New Roman" w:cs="Times New Roman"/>
          <w:sz w:val="24"/>
          <w:szCs w:val="24"/>
        </w:rPr>
        <w:t>27 471,12</w:t>
      </w:r>
      <w:r w:rsidR="00A900FB" w:rsidRPr="00142A6E">
        <w:rPr>
          <w:rFonts w:ascii="Times New Roman" w:hAnsi="Times New Roman" w:cs="Times New Roman"/>
          <w:sz w:val="24"/>
          <w:szCs w:val="24"/>
        </w:rPr>
        <w:t xml:space="preserve"> </w:t>
      </w:r>
      <w:r w:rsidR="00E05241" w:rsidRPr="00142A6E">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Банк получателя: РКЦ ГАТЧИНА г.Гатчина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A91518">
        <w:rPr>
          <w:rFonts w:ascii="Times New Roman" w:hAnsi="Times New Roman" w:cs="Times New Roman"/>
          <w:spacing w:val="-4"/>
          <w:sz w:val="24"/>
          <w:szCs w:val="24"/>
        </w:rPr>
        <w:t>Обеспечение заявки (задаток)</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w:t>
      </w:r>
      <w:r w:rsidR="00240C28" w:rsidRPr="00A7366D">
        <w:rPr>
          <w:rFonts w:ascii="Times New Roman" w:hAnsi="Times New Roman" w:cs="Times New Roman"/>
          <w:sz w:val="24"/>
          <w:szCs w:val="24"/>
        </w:rPr>
        <w:t>ПОГПТ</w:t>
      </w:r>
      <w:r w:rsidR="00A91518" w:rsidRPr="00A7366D">
        <w:rPr>
          <w:rFonts w:ascii="Times New Roman" w:hAnsi="Times New Roman" w:cs="Times New Roman"/>
          <w:sz w:val="24"/>
          <w:szCs w:val="24"/>
        </w:rPr>
        <w:t xml:space="preserve"> </w:t>
      </w:r>
      <w:r w:rsidR="00D137C4" w:rsidRPr="00A7366D">
        <w:rPr>
          <w:rFonts w:ascii="Times New Roman" w:hAnsi="Times New Roman" w:cs="Times New Roman"/>
          <w:sz w:val="24"/>
          <w:szCs w:val="24"/>
        </w:rPr>
        <w:t>лот№</w:t>
      </w:r>
      <w:r w:rsidR="000C6506">
        <w:rPr>
          <w:rFonts w:ascii="Times New Roman" w:hAnsi="Times New Roman" w:cs="Times New Roman"/>
          <w:sz w:val="24"/>
          <w:szCs w:val="24"/>
        </w:rPr>
        <w:t>4</w:t>
      </w:r>
      <w:r w:rsidR="009244EF" w:rsidRPr="00A7366D">
        <w:rPr>
          <w:rFonts w:ascii="Times New Roman" w:hAnsi="Times New Roman" w:cs="Times New Roman"/>
          <w:sz w:val="24"/>
          <w:szCs w:val="24"/>
        </w:rPr>
        <w:t>).</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634CF0" w:rsidRPr="003E3473" w:rsidRDefault="00634CF0" w:rsidP="00634CF0">
      <w:pPr>
        <w:widowControl/>
        <w:tabs>
          <w:tab w:val="left" w:pos="709"/>
        </w:tabs>
        <w:suppressAutoHyphens/>
        <w:autoSpaceDE/>
        <w:autoSpaceDN/>
        <w:adjustRightInd/>
        <w:ind w:firstLine="709"/>
        <w:jc w:val="both"/>
        <w:rPr>
          <w:rFonts w:ascii="Times New Roman" w:hAnsi="Times New Roman" w:cs="Times New Roman"/>
          <w:sz w:val="24"/>
          <w:szCs w:val="24"/>
        </w:rPr>
      </w:pPr>
      <w:bookmarkStart w:id="16" w:name="_Toc476647995"/>
      <w:r w:rsidRPr="00251600">
        <w:rPr>
          <w:rFonts w:ascii="Times New Roman" w:hAnsi="Times New Roman" w:cs="Times New Roman"/>
          <w:sz w:val="24"/>
          <w:szCs w:val="24"/>
        </w:rPr>
        <w:t xml:space="preserve">9.1. Местом подачи заявок заявителями является: МБУ АПЦ ГМР, </w:t>
      </w:r>
      <w:r w:rsidRPr="00251600">
        <w:rPr>
          <w:rFonts w:ascii="Times New Roman" w:hAnsi="Times New Roman" w:cs="Times New Roman"/>
          <w:bCs/>
          <w:sz w:val="24"/>
          <w:szCs w:val="24"/>
        </w:rPr>
        <w:t xml:space="preserve">188300, Ленинградская обл., г. Гатчина, ул. Академика </w:t>
      </w:r>
      <w:r w:rsidRPr="003E3473">
        <w:rPr>
          <w:rFonts w:ascii="Times New Roman" w:hAnsi="Times New Roman" w:cs="Times New Roman"/>
          <w:bCs/>
          <w:sz w:val="24"/>
          <w:szCs w:val="24"/>
        </w:rPr>
        <w:t>Константинова, д.2 (отдел закупок и торгов)</w:t>
      </w:r>
      <w:r w:rsidRPr="003E3473">
        <w:rPr>
          <w:rFonts w:ascii="Times New Roman" w:hAnsi="Times New Roman" w:cs="Times New Roman"/>
          <w:sz w:val="24"/>
          <w:szCs w:val="24"/>
        </w:rPr>
        <w:t>.</w:t>
      </w:r>
    </w:p>
    <w:p w:rsidR="00634CF0" w:rsidRPr="003E3473" w:rsidRDefault="00634CF0" w:rsidP="00634CF0">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 xml:space="preserve">9.2. Дата начала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10</w:t>
      </w:r>
      <w:r w:rsidRPr="003E3473">
        <w:rPr>
          <w:rFonts w:ascii="Times New Roman" w:hAnsi="Times New Roman" w:cs="Times New Roman"/>
          <w:b/>
          <w:sz w:val="24"/>
          <w:szCs w:val="24"/>
        </w:rPr>
        <w:t>»</w:t>
      </w:r>
      <w:r>
        <w:rPr>
          <w:rFonts w:ascii="Times New Roman" w:hAnsi="Times New Roman" w:cs="Times New Roman"/>
          <w:b/>
          <w:sz w:val="24"/>
          <w:szCs w:val="24"/>
        </w:rPr>
        <w:t xml:space="preserve"> сентября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634CF0" w:rsidRPr="00251600" w:rsidRDefault="00634CF0" w:rsidP="00634CF0">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9.3. Дата</w:t>
      </w:r>
      <w:r>
        <w:rPr>
          <w:rFonts w:ascii="Times New Roman" w:hAnsi="Times New Roman" w:cs="Times New Roman"/>
          <w:sz w:val="24"/>
          <w:szCs w:val="24"/>
        </w:rPr>
        <w:t xml:space="preserve"> и время</w:t>
      </w:r>
      <w:r w:rsidRPr="003E3473">
        <w:rPr>
          <w:rFonts w:ascii="Times New Roman" w:hAnsi="Times New Roman" w:cs="Times New Roman"/>
          <w:sz w:val="24"/>
          <w:szCs w:val="24"/>
        </w:rPr>
        <w:t xml:space="preserve"> окончания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11</w:t>
      </w:r>
      <w:r w:rsidRPr="003E3473">
        <w:rPr>
          <w:rFonts w:ascii="Times New Roman" w:hAnsi="Times New Roman" w:cs="Times New Roman"/>
          <w:b/>
          <w:sz w:val="24"/>
          <w:szCs w:val="24"/>
        </w:rPr>
        <w:t xml:space="preserve">» </w:t>
      </w:r>
      <w:r>
        <w:rPr>
          <w:rFonts w:ascii="Times New Roman" w:hAnsi="Times New Roman" w:cs="Times New Roman"/>
          <w:b/>
          <w:sz w:val="24"/>
          <w:szCs w:val="24"/>
        </w:rPr>
        <w:t xml:space="preserve">октября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r>
        <w:rPr>
          <w:rFonts w:ascii="Times New Roman" w:hAnsi="Times New Roman" w:cs="Times New Roman"/>
          <w:b/>
          <w:sz w:val="24"/>
          <w:szCs w:val="24"/>
        </w:rPr>
        <w:t xml:space="preserve"> 10</w:t>
      </w:r>
      <w:r w:rsidRPr="00120842">
        <w:rPr>
          <w:rFonts w:ascii="Times New Roman" w:hAnsi="Times New Roman" w:cs="Times New Roman"/>
          <w:b/>
          <w:sz w:val="24"/>
          <w:szCs w:val="24"/>
        </w:rPr>
        <w:t xml:space="preserve"> ч. </w:t>
      </w:r>
      <w:r>
        <w:rPr>
          <w:rFonts w:ascii="Times New Roman" w:hAnsi="Times New Roman" w:cs="Times New Roman"/>
          <w:b/>
          <w:sz w:val="24"/>
          <w:szCs w:val="24"/>
        </w:rPr>
        <w:t>3</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w:t>
      </w:r>
    </w:p>
    <w:p w:rsidR="00634CF0" w:rsidRPr="00251600" w:rsidRDefault="00634CF0" w:rsidP="00634CF0">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 Даты начала и окончания срока предоставления заявителям разъяснений положений конкурсной документации</w:t>
      </w:r>
      <w:bookmarkEnd w:id="17"/>
    </w:p>
    <w:p w:rsidR="00634CF0" w:rsidRPr="00120842" w:rsidRDefault="00634CF0" w:rsidP="00634CF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10.1. Дата начала срока предоставления разъяснений положений конкурсной </w:t>
      </w:r>
      <w:r w:rsidRPr="00120842">
        <w:rPr>
          <w:rFonts w:ascii="Times New Roman" w:hAnsi="Times New Roman" w:cs="Times New Roman"/>
          <w:sz w:val="24"/>
          <w:szCs w:val="24"/>
        </w:rPr>
        <w:t xml:space="preserve">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10</w:t>
      </w:r>
      <w:r w:rsidRPr="00120842">
        <w:rPr>
          <w:rFonts w:ascii="Times New Roman" w:hAnsi="Times New Roman" w:cs="Times New Roman"/>
          <w:b/>
          <w:sz w:val="24"/>
          <w:szCs w:val="24"/>
        </w:rPr>
        <w:t xml:space="preserve">» </w:t>
      </w:r>
      <w:r>
        <w:rPr>
          <w:rFonts w:ascii="Times New Roman" w:hAnsi="Times New Roman" w:cs="Times New Roman"/>
          <w:b/>
          <w:sz w:val="24"/>
          <w:szCs w:val="24"/>
        </w:rPr>
        <w:t>сентября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p>
    <w:p w:rsidR="00634CF0" w:rsidRPr="00120842" w:rsidRDefault="00634CF0" w:rsidP="00634CF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10.2. Дата окончания срока предоставления разъяснений положений конкурсной 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09</w:t>
      </w:r>
      <w:r w:rsidRPr="00120842">
        <w:rPr>
          <w:rFonts w:ascii="Times New Roman" w:hAnsi="Times New Roman" w:cs="Times New Roman"/>
          <w:b/>
          <w:sz w:val="24"/>
          <w:szCs w:val="24"/>
        </w:rPr>
        <w:t xml:space="preserve">» </w:t>
      </w:r>
      <w:r>
        <w:rPr>
          <w:rFonts w:ascii="Times New Roman" w:hAnsi="Times New Roman" w:cs="Times New Roman"/>
          <w:b/>
          <w:sz w:val="24"/>
          <w:szCs w:val="24"/>
        </w:rPr>
        <w:t>октября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r w:rsidRPr="00120842">
        <w:rPr>
          <w:rFonts w:ascii="Times New Roman" w:hAnsi="Times New Roman" w:cs="Times New Roman"/>
          <w:sz w:val="24"/>
          <w:szCs w:val="24"/>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rsidR="00634CF0" w:rsidRPr="00120842" w:rsidRDefault="00634CF0" w:rsidP="00634CF0">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 Место, дата и время вскрытия конвертов с заявками</w:t>
      </w:r>
      <w:bookmarkEnd w:id="18"/>
    </w:p>
    <w:p w:rsidR="00634CF0" w:rsidRPr="00120842" w:rsidRDefault="00634CF0" w:rsidP="00634CF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11.1. Местом вскрытия конвертов с заявками является: МБУ АПЦ ГМР, </w:t>
      </w:r>
      <w:r w:rsidRPr="00120842">
        <w:rPr>
          <w:rFonts w:ascii="Times New Roman" w:hAnsi="Times New Roman" w:cs="Times New Roman"/>
          <w:bCs/>
          <w:sz w:val="24"/>
          <w:szCs w:val="24"/>
        </w:rPr>
        <w:t>188300, Ленинградская обл., г. Гатчина, ул. Академика Константинова, д.2</w:t>
      </w:r>
      <w:r w:rsidRPr="00120842">
        <w:rPr>
          <w:rFonts w:ascii="Times New Roman" w:hAnsi="Times New Roman" w:cs="Times New Roman"/>
          <w:sz w:val="24"/>
          <w:szCs w:val="24"/>
        </w:rPr>
        <w:t>.</w:t>
      </w:r>
    </w:p>
    <w:p w:rsidR="00634CF0" w:rsidRPr="00251600" w:rsidRDefault="00634CF0" w:rsidP="00634CF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11.2. Дата и время вскрытия конвертов с заявками: </w:t>
      </w:r>
      <w:r>
        <w:rPr>
          <w:rFonts w:ascii="Times New Roman" w:hAnsi="Times New Roman" w:cs="Times New Roman"/>
          <w:b/>
          <w:sz w:val="24"/>
          <w:szCs w:val="24"/>
        </w:rPr>
        <w:t>10</w:t>
      </w:r>
      <w:r w:rsidRPr="00120842">
        <w:rPr>
          <w:rFonts w:ascii="Times New Roman" w:hAnsi="Times New Roman" w:cs="Times New Roman"/>
          <w:b/>
          <w:sz w:val="24"/>
          <w:szCs w:val="24"/>
        </w:rPr>
        <w:t xml:space="preserve"> ч. </w:t>
      </w:r>
      <w:r>
        <w:rPr>
          <w:rFonts w:ascii="Times New Roman" w:hAnsi="Times New Roman" w:cs="Times New Roman"/>
          <w:b/>
          <w:sz w:val="24"/>
          <w:szCs w:val="24"/>
        </w:rPr>
        <w:t>3</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 «</w:t>
      </w:r>
      <w:r>
        <w:rPr>
          <w:rFonts w:ascii="Times New Roman" w:hAnsi="Times New Roman" w:cs="Times New Roman"/>
          <w:b/>
          <w:sz w:val="24"/>
          <w:szCs w:val="24"/>
        </w:rPr>
        <w:t>11</w:t>
      </w:r>
      <w:r w:rsidRPr="00120842">
        <w:rPr>
          <w:rFonts w:ascii="Times New Roman" w:hAnsi="Times New Roman" w:cs="Times New Roman"/>
          <w:b/>
          <w:sz w:val="24"/>
          <w:szCs w:val="24"/>
        </w:rPr>
        <w:t xml:space="preserve">» </w:t>
      </w:r>
      <w:bookmarkStart w:id="19" w:name="_GoBack"/>
      <w:r w:rsidR="00864863">
        <w:rPr>
          <w:rFonts w:ascii="Times New Roman" w:hAnsi="Times New Roman" w:cs="Times New Roman"/>
          <w:b/>
          <w:sz w:val="24"/>
          <w:szCs w:val="24"/>
        </w:rPr>
        <w:t>октября</w:t>
      </w:r>
      <w:r w:rsidRPr="00120842">
        <w:rPr>
          <w:rFonts w:ascii="Times New Roman" w:hAnsi="Times New Roman" w:cs="Times New Roman"/>
          <w:b/>
          <w:sz w:val="24"/>
          <w:szCs w:val="24"/>
        </w:rPr>
        <w:t xml:space="preserve"> </w:t>
      </w:r>
      <w:bookmarkEnd w:id="19"/>
      <w:r w:rsidRPr="00120842">
        <w:rPr>
          <w:rFonts w:ascii="Times New Roman" w:hAnsi="Times New Roman" w:cs="Times New Roman"/>
          <w:b/>
          <w:sz w:val="24"/>
          <w:szCs w:val="24"/>
        </w:rPr>
        <w:t>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p>
    <w:p w:rsidR="00E90633" w:rsidRPr="00A900FB" w:rsidRDefault="0090310B" w:rsidP="002F03B2">
      <w:pPr>
        <w:pStyle w:val="10"/>
        <w:spacing w:before="160" w:after="160"/>
        <w:rPr>
          <w:rFonts w:ascii="Times New Roman" w:hAnsi="Times New Roman"/>
          <w:iCs/>
          <w:sz w:val="24"/>
          <w:szCs w:val="24"/>
        </w:rPr>
      </w:pPr>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6"/>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546DE6" w:rsidRPr="00A900F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240C28">
              <w:rPr>
                <w:rFonts w:ascii="Times New Roman" w:hAnsi="Times New Roman"/>
                <w:sz w:val="24"/>
                <w:szCs w:val="24"/>
                <w:lang w:val="en-US" w:eastAsia="ru-RU"/>
              </w:rPr>
              <w:t>7</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 xml:space="preserve">от общей рекламной площади рекламных </w:t>
            </w:r>
            <w:r w:rsidR="00F4496A" w:rsidRPr="00A900FB">
              <w:rPr>
                <w:rFonts w:ascii="Times New Roman" w:hAnsi="Times New Roman"/>
                <w:bCs/>
                <w:sz w:val="24"/>
                <w:szCs w:val="24"/>
              </w:rPr>
              <w:lastRenderedPageBreak/>
              <w:t>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597BC0"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i</w:t>
      </w:r>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lastRenderedPageBreak/>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404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A7366D">
        <w:trPr>
          <w:cantSplit/>
          <w:trHeight w:val="211"/>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A7366D" w:rsidRPr="00A900FB" w:rsidTr="00A7366D">
        <w:trPr>
          <w:cantSplit/>
          <w:trHeight w:val="781"/>
          <w:jc w:val="center"/>
        </w:trPr>
        <w:tc>
          <w:tcPr>
            <w:tcW w:w="540" w:type="dxa"/>
            <w:tcBorders>
              <w:top w:val="single" w:sz="6" w:space="0" w:color="auto"/>
              <w:left w:val="single" w:sz="6" w:space="0" w:color="auto"/>
              <w:right w:val="single" w:sz="6" w:space="0" w:color="auto"/>
            </w:tcBorders>
            <w:vAlign w:val="center"/>
          </w:tcPr>
          <w:p w:rsidR="00A7366D" w:rsidRPr="00A900FB" w:rsidRDefault="00A7366D"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tcBorders>
              <w:top w:val="single" w:sz="6" w:space="0" w:color="auto"/>
              <w:left w:val="single" w:sz="6" w:space="0" w:color="auto"/>
              <w:right w:val="single" w:sz="6" w:space="0" w:color="auto"/>
            </w:tcBorders>
            <w:vAlign w:val="center"/>
          </w:tcPr>
          <w:p w:rsidR="00A7366D" w:rsidRPr="00A900FB" w:rsidRDefault="00A7366D"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tcBorders>
              <w:top w:val="single" w:sz="6" w:space="0" w:color="auto"/>
              <w:left w:val="single" w:sz="6" w:space="0" w:color="auto"/>
              <w:right w:val="single" w:sz="6" w:space="0" w:color="auto"/>
            </w:tcBorders>
            <w:vAlign w:val="center"/>
          </w:tcPr>
          <w:p w:rsidR="00A7366D" w:rsidRPr="00A900FB" w:rsidRDefault="00A7366D"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4044" w:type="dxa"/>
            <w:tcBorders>
              <w:top w:val="single" w:sz="6" w:space="0" w:color="auto"/>
              <w:left w:val="single" w:sz="6" w:space="0" w:color="auto"/>
              <w:right w:val="single" w:sz="6" w:space="0" w:color="auto"/>
            </w:tcBorders>
            <w:vAlign w:val="center"/>
          </w:tcPr>
          <w:p w:rsidR="00A7366D" w:rsidRPr="00A900FB" w:rsidRDefault="00A7366D" w:rsidP="00165730">
            <w:pPr>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lastRenderedPageBreak/>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lang w:val="ru-RU"/>
        </w:rPr>
        <w:t>Ф</w:t>
      </w:r>
      <w:r w:rsidRPr="00251600">
        <w:rPr>
          <w:rFonts w:ascii="Times New Roman" w:hAnsi="Times New Roman"/>
          <w:i w:val="0"/>
          <w:sz w:val="24"/>
          <w:szCs w:val="24"/>
        </w:rPr>
        <w:t>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077C2D">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077C2D">
        <w:trPr>
          <w:trHeight w:val="282"/>
        </w:trPr>
        <w:tc>
          <w:tcPr>
            <w:tcW w:w="851" w:type="dxa"/>
            <w:tcBorders>
              <w:top w:val="single" w:sz="4" w:space="0" w:color="auto"/>
              <w:left w:val="single" w:sz="4" w:space="0" w:color="auto"/>
              <w:bottom w:val="single" w:sz="4" w:space="0" w:color="auto"/>
            </w:tcBorders>
            <w:shd w:val="clear" w:color="auto" w:fill="auto"/>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3</w:t>
            </w: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077C2D">
            <w:pPr>
              <w:tabs>
                <w:tab w:val="left" w:pos="993"/>
              </w:tabs>
              <w:jc w:val="both"/>
              <w:rPr>
                <w:rFonts w:ascii="Times New Roman" w:hAnsi="Times New Roman" w:cs="Times New Roman"/>
                <w:sz w:val="20"/>
                <w:szCs w:val="20"/>
              </w:rPr>
            </w:pP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077C2D">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7"/>
          <w:footerReference w:type="default" r:id="rId18"/>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r w:rsidRPr="00251600">
        <w:rPr>
          <w:rFonts w:ascii="Times New Roman" w:hAnsi="Times New Roman" w:cs="Times New Roman"/>
          <w:b/>
        </w:rPr>
        <w:t xml:space="preserve"> </w:t>
      </w:r>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торгов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торгов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торгов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rPr>
          <w:lang w:eastAsia="x-none"/>
        </w:rPr>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rPr>
          <w:lang w:eastAsia="x-none"/>
        </w:rPr>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864863">
          <w:rPr>
            <w:noProof/>
          </w:rPr>
          <w:t>4</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pPr>
      <w:pStyle w:val="ac"/>
      <w:jc w:val="center"/>
    </w:pPr>
    <w:r>
      <w:fldChar w:fldCharType="begin"/>
    </w:r>
    <w:r>
      <w:instrText>PAGE   \* MERGEFORMAT</w:instrText>
    </w:r>
    <w:r>
      <w:fldChar w:fldCharType="separate"/>
    </w:r>
    <w:r w:rsidR="00634CF0">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C6506"/>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3E46"/>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4300"/>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34CF0"/>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4863"/>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66D"/>
    <w:rsid w:val="00A73FDC"/>
    <w:rsid w:val="00A74CC0"/>
    <w:rsid w:val="00A7789B"/>
    <w:rsid w:val="00A80903"/>
    <w:rsid w:val="00A80DE8"/>
    <w:rsid w:val="00A81D40"/>
    <w:rsid w:val="00A81F99"/>
    <w:rsid w:val="00A83FEF"/>
    <w:rsid w:val="00A85A89"/>
    <w:rsid w:val="00A85F35"/>
    <w:rsid w:val="00A900FB"/>
    <w:rsid w:val="00A91518"/>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3C9B"/>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37C4"/>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F137A"/>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E122-7F01-449E-92FF-1FE4C951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14</Pages>
  <Words>2832</Words>
  <Characters>22072</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24855</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42</cp:revision>
  <cp:lastPrinted>2018-02-02T07:32:00Z</cp:lastPrinted>
  <dcterms:created xsi:type="dcterms:W3CDTF">2017-11-01T09:31:00Z</dcterms:created>
  <dcterms:modified xsi:type="dcterms:W3CDTF">2018-09-10T09:27:00Z</dcterms:modified>
</cp:coreProperties>
</file>