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503A7460" w:rsidR="00104501" w:rsidRPr="00A310D4" w:rsidRDefault="00104501" w:rsidP="00104501">
      <w:pPr>
        <w:ind w:right="48"/>
        <w:jc w:val="right"/>
      </w:pPr>
      <w:r w:rsidRPr="00A310D4">
        <w:t xml:space="preserve">от </w:t>
      </w:r>
      <w:r w:rsidR="00D3572F">
        <w:t>02.02.2018</w:t>
      </w:r>
      <w:r w:rsidRPr="00A310D4">
        <w:t xml:space="preserve"> №</w:t>
      </w:r>
      <w:r w:rsidR="00D3572F">
        <w:t>377</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21516802" w:rsidR="009F0D93" w:rsidRPr="00A310D4" w:rsidRDefault="009F0D93" w:rsidP="009F0D93">
      <w:pPr>
        <w:pStyle w:val="afd"/>
        <w:rPr>
          <w:rFonts w:eastAsiaTheme="minorEastAsia"/>
          <w:b/>
          <w:caps/>
        </w:rPr>
      </w:pPr>
      <w:r w:rsidRPr="005D2592">
        <w:rPr>
          <w:rFonts w:eastAsiaTheme="minorEastAsia"/>
          <w:b/>
          <w:caps/>
        </w:rPr>
        <w:t>(</w:t>
      </w:r>
      <w:r w:rsidR="005A2B8F" w:rsidRPr="005D2592">
        <w:rPr>
          <w:rFonts w:eastAsiaTheme="minorEastAsia"/>
          <w:b/>
          <w:caps/>
        </w:rPr>
        <w:t>ЩИТЫ 3х6, ЛОТ № 3</w:t>
      </w:r>
      <w:r w:rsidR="00492E96">
        <w:rPr>
          <w:rFonts w:eastAsiaTheme="minorEastAsia"/>
          <w:b/>
          <w:caps/>
        </w:rPr>
        <w:t>)</w:t>
      </w:r>
      <w:bookmarkStart w:id="0" w:name="_GoBack"/>
      <w:bookmarkEnd w:id="0"/>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2340F0">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2340F0">
        <w:t xml:space="preserve">бованиям, если такие требования установлены </w:t>
      </w:r>
      <w:r w:rsidR="006621EA" w:rsidRPr="002340F0">
        <w:t>законодательством Российской Федерации.</w:t>
      </w:r>
      <w:r w:rsidR="00A33DB0" w:rsidRPr="00A310D4">
        <w:t xml:space="preserve"> </w:t>
      </w:r>
    </w:p>
    <w:p w14:paraId="78E42098" w14:textId="43DAFC14" w:rsidR="006621EA" w:rsidRPr="00A310D4"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w:t>
      </w:r>
      <w:r w:rsidRPr="00A310D4">
        <w:lastRenderedPageBreak/>
        <w:t>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w:t>
      </w:r>
      <w:r w:rsidRPr="00A310D4">
        <w:lastRenderedPageBreak/>
        <w:t xml:space="preserve">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w:t>
      </w:r>
      <w:r w:rsidR="00CA4BF8" w:rsidRPr="00A310D4">
        <w:lastRenderedPageBreak/>
        <w:t xml:space="preserve">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lastRenderedPageBreak/>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77B0D9D" w14:textId="0859E88C" w:rsidR="00102FE3" w:rsidRPr="002340F0" w:rsidRDefault="00102FE3" w:rsidP="00AF1017">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8B74B1" w:rsidRPr="002340F0">
        <w:t>;</w:t>
      </w:r>
      <w:bookmarkStart w:id="28" w:name="Par258"/>
      <w:bookmarkEnd w:id="28"/>
    </w:p>
    <w:p w14:paraId="7C3AEAF2" w14:textId="03B9E75D" w:rsidR="00D22094" w:rsidRPr="002340F0" w:rsidRDefault="00D22094" w:rsidP="00AF1017">
      <w:pPr>
        <w:tabs>
          <w:tab w:val="left" w:pos="851"/>
        </w:tabs>
        <w:autoSpaceDE w:val="0"/>
        <w:autoSpaceDN w:val="0"/>
        <w:adjustRightInd w:val="0"/>
        <w:ind w:firstLine="709"/>
        <w:jc w:val="both"/>
      </w:pPr>
      <w:r w:rsidRPr="002340F0">
        <w:t>3)</w:t>
      </w:r>
      <w:r w:rsidRPr="002340F0">
        <w:rPr>
          <w:sz w:val="28"/>
          <w:szCs w:val="28"/>
        </w:rPr>
        <w:t xml:space="preserve"> </w:t>
      </w:r>
      <w:r w:rsidRPr="002340F0">
        <w:t>проект рекламной конструкции.</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9" w:name="Par290"/>
      <w:bookmarkEnd w:id="29"/>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lastRenderedPageBreak/>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30"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30"/>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1"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1"/>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lastRenderedPageBreak/>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B40D31" w:rsidRPr="00A310D4">
        <w:lastRenderedPageBreak/>
        <w:t>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2"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2"/>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lastRenderedPageBreak/>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3"/>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 xml:space="preserve">а в размере, который предусмотрен конкурсной документацией. В случае, если </w:t>
      </w:r>
      <w:r w:rsidR="00CA4BF8" w:rsidRPr="00A310D4">
        <w:lastRenderedPageBreak/>
        <w:t>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lastRenderedPageBreak/>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lastRenderedPageBreak/>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4"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4"/>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w:t>
      </w:r>
      <w:r w:rsidRPr="00A310D4">
        <w:lastRenderedPageBreak/>
        <w:t xml:space="preserve">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5"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5"/>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6"/>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lastRenderedPageBreak/>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7"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7"/>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8"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8"/>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xml:space="preserve">.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w:t>
      </w:r>
      <w:r w:rsidR="00FD17B4" w:rsidRPr="00A310D4">
        <w:lastRenderedPageBreak/>
        <w:t>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9"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9"/>
    </w:p>
    <w:p w14:paraId="633B14BC" w14:textId="6AA4FD5D" w:rsidR="00576DC8" w:rsidRPr="00A310D4" w:rsidRDefault="001C7529" w:rsidP="008B2A12">
      <w:pPr>
        <w:autoSpaceDE w:val="0"/>
        <w:autoSpaceDN w:val="0"/>
        <w:adjustRightInd w:val="0"/>
        <w:ind w:firstLine="709"/>
        <w:jc w:val="both"/>
      </w:pPr>
      <w:bookmarkStart w:id="40" w:name="Par323"/>
      <w:bookmarkEnd w:id="40"/>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3B3C4FAC" w:rsidR="00A803EF" w:rsidRDefault="00A803EF">
        <w:pPr>
          <w:pStyle w:val="af5"/>
          <w:jc w:val="right"/>
        </w:pPr>
        <w:r>
          <w:fldChar w:fldCharType="begin"/>
        </w:r>
        <w:r>
          <w:instrText>PAGE   \* MERGEFORMAT</w:instrText>
        </w:r>
        <w:r>
          <w:fldChar w:fldCharType="separate"/>
        </w:r>
        <w:r w:rsidR="00492E96">
          <w:rPr>
            <w:noProof/>
          </w:rPr>
          <w:t>21</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2E96"/>
    <w:rsid w:val="00494701"/>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11924"/>
    <w:rsid w:val="00815A90"/>
    <w:rsid w:val="00821C34"/>
    <w:rsid w:val="008518DC"/>
    <w:rsid w:val="00856C3E"/>
    <w:rsid w:val="00871569"/>
    <w:rsid w:val="00872581"/>
    <w:rsid w:val="00882D08"/>
    <w:rsid w:val="0088491B"/>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3572F"/>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20-F760-4B62-92BE-2D2313FA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23</Pages>
  <Words>11219</Words>
  <Characters>63953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19</cp:revision>
  <cp:lastPrinted>2017-07-21T07:13:00Z</cp:lastPrinted>
  <dcterms:created xsi:type="dcterms:W3CDTF">2017-11-01T09:07:00Z</dcterms:created>
  <dcterms:modified xsi:type="dcterms:W3CDTF">2018-02-20T09:07:00Z</dcterms:modified>
</cp:coreProperties>
</file>