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F7" w:rsidRPr="00157E23" w:rsidRDefault="009A4FF7" w:rsidP="009A4FF7">
      <w:pPr>
        <w:pStyle w:val="ConsPlusTitlePage"/>
        <w:rPr>
          <w:rFonts w:ascii="Times New Roman" w:hAnsi="Times New Roman" w:cs="Times New Roman"/>
          <w:sz w:val="28"/>
          <w:szCs w:val="28"/>
        </w:rPr>
      </w:pPr>
      <w:r w:rsidRPr="00157E23">
        <w:rPr>
          <w:rFonts w:ascii="Times New Roman" w:hAnsi="Times New Roman" w:cs="Times New Roman"/>
          <w:sz w:val="28"/>
          <w:szCs w:val="28"/>
        </w:rPr>
        <w:t>проект</w:t>
      </w:r>
      <w:r w:rsidRPr="00157E23">
        <w:rPr>
          <w:rFonts w:ascii="Times New Roman" w:hAnsi="Times New Roman" w:cs="Times New Roman"/>
          <w:sz w:val="28"/>
          <w:szCs w:val="28"/>
        </w:rPr>
        <w:br/>
      </w:r>
    </w:p>
    <w:p w:rsidR="009A4FF7" w:rsidRPr="00157E23" w:rsidRDefault="009A4FF7" w:rsidP="009A4FF7">
      <w:pPr>
        <w:pStyle w:val="ConsPlusNormal"/>
        <w:outlineLvl w:val="0"/>
        <w:rPr>
          <w:sz w:val="28"/>
          <w:szCs w:val="28"/>
        </w:rPr>
      </w:pPr>
    </w:p>
    <w:p w:rsidR="002F2EE0" w:rsidRPr="00157E23" w:rsidRDefault="002F2EE0" w:rsidP="002F2EE0">
      <w:pPr>
        <w:pStyle w:val="ConsPlusTitle"/>
        <w:jc w:val="center"/>
        <w:outlineLvl w:val="0"/>
        <w:rPr>
          <w:sz w:val="28"/>
          <w:szCs w:val="28"/>
        </w:rPr>
      </w:pPr>
      <w:r w:rsidRPr="00157E23">
        <w:rPr>
          <w:sz w:val="28"/>
          <w:szCs w:val="28"/>
        </w:rPr>
        <w:t>ГАТЧИНСКИЙ МУНИЦИПАЛЬНЫЙ РАЙОН ЛЕНИНГРАДСКОЙ ОБЛАСТИ</w:t>
      </w:r>
    </w:p>
    <w:p w:rsidR="002F2EE0" w:rsidRPr="00157E23" w:rsidRDefault="002F2EE0" w:rsidP="002F2EE0">
      <w:pPr>
        <w:pStyle w:val="ConsPlusTitle"/>
        <w:jc w:val="center"/>
        <w:rPr>
          <w:sz w:val="28"/>
          <w:szCs w:val="28"/>
        </w:rPr>
      </w:pPr>
      <w:r w:rsidRPr="00157E23">
        <w:rPr>
          <w:sz w:val="28"/>
          <w:szCs w:val="28"/>
        </w:rPr>
        <w:t>СОВЕТ ДЕПУТАТОВ</w:t>
      </w:r>
    </w:p>
    <w:p w:rsidR="009A4FF7" w:rsidRPr="00157E23" w:rsidRDefault="009A4FF7" w:rsidP="009A4FF7">
      <w:pPr>
        <w:pStyle w:val="ConsPlusTitle"/>
        <w:jc w:val="center"/>
        <w:rPr>
          <w:sz w:val="28"/>
          <w:szCs w:val="28"/>
        </w:rPr>
      </w:pPr>
    </w:p>
    <w:p w:rsidR="009A4FF7" w:rsidRDefault="009A4FF7" w:rsidP="009A4FF7">
      <w:pPr>
        <w:pStyle w:val="ConsPlusTitle"/>
        <w:jc w:val="center"/>
        <w:rPr>
          <w:sz w:val="28"/>
          <w:szCs w:val="28"/>
        </w:rPr>
      </w:pPr>
      <w:r w:rsidRPr="00157E23">
        <w:rPr>
          <w:sz w:val="28"/>
          <w:szCs w:val="28"/>
        </w:rPr>
        <w:t>РЕШЕНИЕ</w:t>
      </w:r>
    </w:p>
    <w:p w:rsidR="009A4FF7" w:rsidRPr="00157E23" w:rsidRDefault="009A4FF7" w:rsidP="009A4FF7">
      <w:pPr>
        <w:pStyle w:val="ConsPlusTitle"/>
        <w:jc w:val="center"/>
        <w:rPr>
          <w:sz w:val="28"/>
          <w:szCs w:val="28"/>
        </w:rPr>
      </w:pPr>
    </w:p>
    <w:p w:rsidR="009A4FF7" w:rsidRPr="00157E23" w:rsidRDefault="009A4FF7" w:rsidP="009A4FF7">
      <w:pPr>
        <w:pStyle w:val="ConsPlusTitle"/>
        <w:jc w:val="both"/>
        <w:rPr>
          <w:sz w:val="28"/>
          <w:szCs w:val="28"/>
        </w:rPr>
      </w:pPr>
      <w:r>
        <w:rPr>
          <w:sz w:val="28"/>
          <w:szCs w:val="28"/>
        </w:rPr>
        <w:t>от</w:t>
      </w:r>
      <w:r w:rsidRPr="00157E23">
        <w:rPr>
          <w:sz w:val="28"/>
          <w:szCs w:val="28"/>
        </w:rPr>
        <w:t xml:space="preserve">______________                                                  </w:t>
      </w:r>
      <w:r>
        <w:rPr>
          <w:sz w:val="28"/>
          <w:szCs w:val="28"/>
        </w:rPr>
        <w:t>№_________________</w:t>
      </w:r>
      <w:r w:rsidRPr="00157E23">
        <w:rPr>
          <w:sz w:val="28"/>
          <w:szCs w:val="28"/>
        </w:rPr>
        <w:t xml:space="preserve">                                                     </w:t>
      </w:r>
      <w:r>
        <w:rPr>
          <w:sz w:val="28"/>
          <w:szCs w:val="28"/>
        </w:rPr>
        <w:t xml:space="preserve">                             </w:t>
      </w:r>
    </w:p>
    <w:p w:rsidR="009A4FF7" w:rsidRPr="00157E23" w:rsidRDefault="009A4FF7" w:rsidP="009A4FF7">
      <w:pPr>
        <w:pStyle w:val="ConsPlusTitle"/>
        <w:jc w:val="both"/>
        <w:rPr>
          <w:sz w:val="28"/>
          <w:szCs w:val="28"/>
        </w:rPr>
      </w:pPr>
    </w:p>
    <w:p w:rsidR="002F2EE0" w:rsidRPr="002F2EE0" w:rsidRDefault="002F2EE0" w:rsidP="002F2EE0">
      <w:pPr>
        <w:tabs>
          <w:tab w:val="left" w:pos="6660"/>
        </w:tabs>
        <w:ind w:right="3595"/>
        <w:jc w:val="both"/>
        <w:rPr>
          <w:rFonts w:ascii="Times New Roman" w:hAnsi="Times New Roman"/>
          <w:bCs/>
          <w:spacing w:val="6"/>
          <w:sz w:val="28"/>
          <w:szCs w:val="28"/>
        </w:rPr>
      </w:pPr>
      <w:r w:rsidRPr="002F2EE0">
        <w:rPr>
          <w:rFonts w:ascii="Times New Roman" w:hAnsi="Times New Roman"/>
          <w:bCs/>
          <w:sz w:val="28"/>
          <w:szCs w:val="28"/>
        </w:rPr>
        <w:t xml:space="preserve">Об утверждении положения о муниципальном жилищном контроле </w:t>
      </w:r>
      <w:r w:rsidRPr="002F2EE0">
        <w:rPr>
          <w:rFonts w:ascii="Times New Roman" w:hAnsi="Times New Roman"/>
          <w:sz w:val="28"/>
          <w:szCs w:val="28"/>
        </w:rPr>
        <w:t>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rsidR="009A4FF7" w:rsidRPr="00157E23" w:rsidRDefault="009A4FF7" w:rsidP="009A4FF7">
      <w:pPr>
        <w:autoSpaceDE w:val="0"/>
        <w:autoSpaceDN w:val="0"/>
        <w:adjustRightInd w:val="0"/>
        <w:jc w:val="center"/>
        <w:rPr>
          <w:b/>
          <w:bCs/>
          <w:sz w:val="28"/>
          <w:szCs w:val="28"/>
        </w:rPr>
      </w:pPr>
    </w:p>
    <w:p w:rsidR="009A4FF7" w:rsidRPr="00157E23" w:rsidRDefault="009A4FF7" w:rsidP="009A4FF7">
      <w:pPr>
        <w:autoSpaceDE w:val="0"/>
        <w:autoSpaceDN w:val="0"/>
        <w:adjustRightInd w:val="0"/>
        <w:jc w:val="center"/>
        <w:rPr>
          <w:b/>
          <w:bCs/>
          <w:sz w:val="28"/>
          <w:szCs w:val="28"/>
        </w:rPr>
      </w:pPr>
    </w:p>
    <w:p w:rsidR="009A4FF7" w:rsidRPr="009A4FF7" w:rsidRDefault="009A4FF7" w:rsidP="009A4FF7">
      <w:pPr>
        <w:pStyle w:val="ConsPlusNormal"/>
        <w:ind w:firstLine="540"/>
        <w:jc w:val="both"/>
        <w:rPr>
          <w:sz w:val="28"/>
          <w:szCs w:val="28"/>
        </w:rPr>
      </w:pPr>
      <w:r w:rsidRPr="009A4FF7">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9A4FF7">
        <w:rPr>
          <w:bCs/>
          <w:sz w:val="28"/>
          <w:szCs w:val="28"/>
        </w:rPr>
        <w:t xml:space="preserve">, </w:t>
      </w:r>
      <w:r w:rsidRPr="009A4FF7">
        <w:rPr>
          <w:sz w:val="28"/>
          <w:szCs w:val="28"/>
        </w:rPr>
        <w:t>Уставом Гатчинского муниципального района, совет депутатов Гатчинского муниципального района решил:</w:t>
      </w:r>
    </w:p>
    <w:p w:rsidR="009A4FF7" w:rsidRPr="009A4FF7" w:rsidRDefault="009A4FF7" w:rsidP="009A4FF7">
      <w:pPr>
        <w:pStyle w:val="ConsPlusNormal"/>
        <w:ind w:firstLine="540"/>
        <w:jc w:val="both"/>
        <w:rPr>
          <w:sz w:val="28"/>
          <w:szCs w:val="28"/>
        </w:rPr>
      </w:pPr>
    </w:p>
    <w:p w:rsidR="009A4FF7" w:rsidRPr="002F2EE0" w:rsidRDefault="009A4FF7" w:rsidP="002F2EE0">
      <w:pPr>
        <w:pStyle w:val="a8"/>
        <w:widowControl/>
        <w:numPr>
          <w:ilvl w:val="0"/>
          <w:numId w:val="6"/>
        </w:numPr>
        <w:autoSpaceDE w:val="0"/>
        <w:autoSpaceDN w:val="0"/>
        <w:adjustRightInd w:val="0"/>
        <w:ind w:left="0" w:hanging="11"/>
        <w:contextualSpacing w:val="0"/>
        <w:jc w:val="both"/>
        <w:rPr>
          <w:rFonts w:ascii="Times New Roman" w:hAnsi="Times New Roman"/>
          <w:bCs/>
          <w:sz w:val="28"/>
          <w:szCs w:val="28"/>
        </w:rPr>
      </w:pPr>
      <w:r w:rsidRPr="002F2EE0">
        <w:rPr>
          <w:rFonts w:ascii="Times New Roman" w:hAnsi="Times New Roman"/>
          <w:sz w:val="28"/>
          <w:szCs w:val="28"/>
        </w:rPr>
        <w:t>Утвердить положение о муниципальном жилищном контроле на территори</w:t>
      </w:r>
      <w:r w:rsidR="002F2EE0" w:rsidRPr="002F2EE0">
        <w:rPr>
          <w:rFonts w:ascii="Times New Roman" w:hAnsi="Times New Roman"/>
          <w:sz w:val="28"/>
          <w:szCs w:val="28"/>
        </w:rPr>
        <w:t>ях городских и сельских поселений Гатчинского муниципального района, в случае заключения соответствующих соглашений о передаче полномочий</w:t>
      </w:r>
      <w:r w:rsidRPr="002F2EE0">
        <w:rPr>
          <w:rFonts w:ascii="Times New Roman" w:hAnsi="Times New Roman"/>
          <w:sz w:val="28"/>
          <w:szCs w:val="28"/>
        </w:rPr>
        <w:t xml:space="preserve"> согласно приложению к настоящему решению. </w:t>
      </w:r>
    </w:p>
    <w:p w:rsidR="002F2EE0" w:rsidRPr="002F2EE0" w:rsidRDefault="002F2EE0" w:rsidP="002F2EE0">
      <w:pPr>
        <w:pStyle w:val="a8"/>
        <w:numPr>
          <w:ilvl w:val="0"/>
          <w:numId w:val="8"/>
        </w:numPr>
        <w:autoSpaceDE w:val="0"/>
        <w:autoSpaceDN w:val="0"/>
        <w:adjustRightInd w:val="0"/>
        <w:ind w:left="0" w:hanging="11"/>
        <w:jc w:val="both"/>
        <w:rPr>
          <w:rFonts w:ascii="Times New Roman" w:hAnsi="Times New Roman"/>
          <w:sz w:val="28"/>
          <w:szCs w:val="28"/>
        </w:rPr>
      </w:pPr>
      <w:r w:rsidRPr="002F2EE0">
        <w:rPr>
          <w:rFonts w:ascii="Times New Roman" w:hAnsi="Times New Roman"/>
          <w:sz w:val="28"/>
          <w:szCs w:val="28"/>
        </w:rPr>
        <w:t xml:space="preserve">Настоящее решение подлежит официальному опубликованию в Официальном вестнике - приложение к газете «Гатчинская правда» и размещению на официальном сайте Гатчинского муниципального района.  </w:t>
      </w:r>
    </w:p>
    <w:p w:rsidR="002F2EE0" w:rsidRPr="002F2EE0" w:rsidRDefault="002F2EE0" w:rsidP="002F2EE0">
      <w:pPr>
        <w:pStyle w:val="a8"/>
        <w:numPr>
          <w:ilvl w:val="0"/>
          <w:numId w:val="8"/>
        </w:numPr>
        <w:autoSpaceDE w:val="0"/>
        <w:autoSpaceDN w:val="0"/>
        <w:adjustRightInd w:val="0"/>
        <w:ind w:left="0" w:hanging="11"/>
        <w:jc w:val="both"/>
        <w:rPr>
          <w:rFonts w:ascii="Times New Roman" w:hAnsi="Times New Roman"/>
          <w:bCs/>
          <w:sz w:val="28"/>
          <w:szCs w:val="28"/>
        </w:rPr>
      </w:pPr>
      <w:r w:rsidRPr="002F2EE0">
        <w:rPr>
          <w:rFonts w:ascii="Times New Roman" w:hAnsi="Times New Roman"/>
          <w:sz w:val="28"/>
          <w:szCs w:val="28"/>
        </w:rPr>
        <w:t>Решение вступает в силу с 01.10.2021</w:t>
      </w:r>
    </w:p>
    <w:p w:rsidR="000A31CF" w:rsidRPr="002F2EE0" w:rsidRDefault="000A31CF" w:rsidP="002F2EE0">
      <w:pPr>
        <w:widowControl/>
        <w:autoSpaceDE w:val="0"/>
        <w:autoSpaceDN w:val="0"/>
        <w:adjustRightInd w:val="0"/>
        <w:ind w:hanging="11"/>
        <w:jc w:val="both"/>
        <w:rPr>
          <w:rFonts w:ascii="Times New Roman" w:hAnsi="Times New Roman"/>
          <w:sz w:val="28"/>
          <w:szCs w:val="28"/>
        </w:rPr>
      </w:pPr>
    </w:p>
    <w:p w:rsidR="009A4FF7" w:rsidRPr="000A31CF" w:rsidRDefault="009A4FF7" w:rsidP="009A4FF7">
      <w:pPr>
        <w:spacing w:line="240" w:lineRule="exact"/>
        <w:rPr>
          <w:rFonts w:ascii="Times New Roman" w:hAnsi="Times New Roman"/>
          <w:sz w:val="28"/>
          <w:szCs w:val="28"/>
        </w:rPr>
      </w:pPr>
    </w:p>
    <w:p w:rsidR="009A4FF7" w:rsidRPr="009A4FF7" w:rsidRDefault="009A4FF7" w:rsidP="009A4FF7">
      <w:pPr>
        <w:spacing w:line="240" w:lineRule="exact"/>
        <w:rPr>
          <w:rFonts w:ascii="Times New Roman" w:hAnsi="Times New Roman"/>
          <w:color w:val="auto"/>
          <w:sz w:val="28"/>
          <w:szCs w:val="28"/>
        </w:rPr>
      </w:pPr>
    </w:p>
    <w:p w:rsidR="009A4FF7" w:rsidRPr="002F2EE0" w:rsidRDefault="009A4FF7" w:rsidP="002F2EE0">
      <w:pPr>
        <w:pStyle w:val="8"/>
        <w:spacing w:before="0" w:line="240" w:lineRule="exact"/>
        <w:rPr>
          <w:rFonts w:ascii="Times New Roman" w:hAnsi="Times New Roman" w:cs="Times New Roman"/>
          <w:sz w:val="28"/>
          <w:szCs w:val="28"/>
        </w:rPr>
      </w:pPr>
      <w:r w:rsidRPr="009A4FF7">
        <w:rPr>
          <w:rFonts w:ascii="Times New Roman" w:hAnsi="Times New Roman" w:cs="Times New Roman"/>
          <w:color w:val="auto"/>
          <w:sz w:val="28"/>
          <w:szCs w:val="28"/>
        </w:rPr>
        <w:t xml:space="preserve">Глава </w:t>
      </w:r>
      <w:r w:rsidR="002F2EE0">
        <w:rPr>
          <w:rFonts w:ascii="Times New Roman" w:hAnsi="Times New Roman" w:cs="Times New Roman"/>
          <w:color w:val="auto"/>
          <w:sz w:val="28"/>
          <w:szCs w:val="28"/>
        </w:rPr>
        <w:t xml:space="preserve">Гатчинского муниципального </w:t>
      </w:r>
      <w:r w:rsidR="002F2EE0" w:rsidRPr="002F2EE0">
        <w:rPr>
          <w:rFonts w:ascii="Times New Roman" w:hAnsi="Times New Roman" w:cs="Times New Roman"/>
          <w:color w:val="auto"/>
          <w:sz w:val="28"/>
          <w:szCs w:val="28"/>
        </w:rPr>
        <w:t xml:space="preserve">района               </w:t>
      </w:r>
      <w:r w:rsidR="002F2EE0">
        <w:rPr>
          <w:rFonts w:ascii="Times New Roman" w:hAnsi="Times New Roman" w:cs="Times New Roman"/>
          <w:color w:val="auto"/>
          <w:sz w:val="28"/>
          <w:szCs w:val="28"/>
        </w:rPr>
        <w:t xml:space="preserve">                        </w:t>
      </w:r>
      <w:r w:rsidR="002F2EE0" w:rsidRPr="002F2EE0">
        <w:rPr>
          <w:rFonts w:ascii="Times New Roman" w:hAnsi="Times New Roman" w:cs="Times New Roman"/>
          <w:color w:val="auto"/>
          <w:sz w:val="28"/>
          <w:szCs w:val="28"/>
        </w:rPr>
        <w:t xml:space="preserve">В.А. </w:t>
      </w:r>
      <w:proofErr w:type="spellStart"/>
      <w:r w:rsidR="002F2EE0" w:rsidRPr="002F2EE0">
        <w:rPr>
          <w:rFonts w:ascii="Times New Roman" w:hAnsi="Times New Roman" w:cs="Times New Roman"/>
          <w:color w:val="auto"/>
          <w:sz w:val="28"/>
          <w:szCs w:val="28"/>
        </w:rPr>
        <w:t>Филоненко</w:t>
      </w:r>
      <w:proofErr w:type="spellEnd"/>
    </w:p>
    <w:p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9A4FF7" w:rsidRDefault="009A4FF7" w:rsidP="009A4FF7"/>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t>Приложение</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 xml:space="preserve">к решению совета депутатов </w:t>
      </w:r>
      <w:proofErr w:type="gramStart"/>
      <w:r w:rsidRPr="00740A3D">
        <w:rPr>
          <w:rFonts w:ascii="Times New Roman" w:eastAsiaTheme="minorHAnsi" w:hAnsi="Times New Roman"/>
          <w:color w:val="000000" w:themeColor="text1"/>
          <w:sz w:val="28"/>
          <w:szCs w:val="28"/>
        </w:rPr>
        <w:t>от</w:t>
      </w:r>
      <w:proofErr w:type="gramEnd"/>
      <w:r w:rsidRPr="00740A3D">
        <w:rPr>
          <w:rFonts w:ascii="Times New Roman" w:eastAsiaTheme="minorHAnsi" w:hAnsi="Times New Roman"/>
          <w:color w:val="000000" w:themeColor="text1"/>
          <w:sz w:val="28"/>
          <w:szCs w:val="28"/>
        </w:rPr>
        <w:t xml:space="preserve"> ______________ № ___</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3D71FF"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3D71FF">
        <w:rPr>
          <w:rFonts w:ascii="Times New Roman" w:eastAsiaTheme="minorHAnsi" w:hAnsi="Times New Roman"/>
          <w:b/>
          <w:color w:val="000000" w:themeColor="text1"/>
          <w:sz w:val="28"/>
          <w:szCs w:val="28"/>
        </w:rPr>
        <w:t xml:space="preserve">Положение </w:t>
      </w:r>
    </w:p>
    <w:p w:rsidR="000E7BBF" w:rsidRDefault="00740A3D" w:rsidP="003D71FF">
      <w:pPr>
        <w:widowControl/>
        <w:autoSpaceDE w:val="0"/>
        <w:autoSpaceDN w:val="0"/>
        <w:adjustRightInd w:val="0"/>
        <w:jc w:val="center"/>
        <w:rPr>
          <w:rFonts w:ascii="Times New Roman" w:hAnsi="Times New Roman"/>
          <w:b/>
          <w:sz w:val="28"/>
          <w:szCs w:val="28"/>
        </w:rPr>
      </w:pPr>
      <w:r w:rsidRPr="003D71FF">
        <w:rPr>
          <w:rFonts w:ascii="Times New Roman" w:eastAsiaTheme="minorHAnsi" w:hAnsi="Times New Roman"/>
          <w:b/>
          <w:iCs/>
          <w:color w:val="auto"/>
          <w:sz w:val="28"/>
          <w:szCs w:val="28"/>
        </w:rPr>
        <w:t>о муниципальном жилищном контроле н</w:t>
      </w:r>
      <w:r w:rsidRPr="003D71FF">
        <w:rPr>
          <w:rFonts w:ascii="Times New Roman" w:eastAsiaTheme="minorHAnsi" w:hAnsi="Times New Roman"/>
          <w:b/>
          <w:color w:val="auto"/>
          <w:sz w:val="28"/>
          <w:szCs w:val="28"/>
        </w:rPr>
        <w:t xml:space="preserve">а </w:t>
      </w:r>
      <w:r w:rsidR="003D71FF" w:rsidRPr="003D71FF">
        <w:rPr>
          <w:rFonts w:ascii="Times New Roman" w:hAnsi="Times New Roman"/>
          <w:b/>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rsidR="003D71FF" w:rsidRPr="003D71FF" w:rsidRDefault="003D71FF" w:rsidP="003D71FF">
      <w:pPr>
        <w:widowControl/>
        <w:autoSpaceDE w:val="0"/>
        <w:autoSpaceDN w:val="0"/>
        <w:adjustRightInd w:val="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w:t>
      </w:r>
      <w:r w:rsidR="003D71FF" w:rsidRPr="002F2EE0">
        <w:rPr>
          <w:rFonts w:ascii="Times New Roman" w:hAnsi="Times New Roman"/>
          <w:sz w:val="28"/>
          <w:szCs w:val="28"/>
        </w:rPr>
        <w:t xml:space="preserve">территориях городских и сельских поселений Гатчинского муниципального района, в случае заключения соответствующих соглашений о передаче полномочий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rPr>
        <w:lastRenderedPageBreak/>
        <w:t>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lastRenderedPageBreak/>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 xml:space="preserve">.6. Контрольный орган рассматривает возражение в отношении </w:t>
      </w:r>
      <w:r w:rsidR="000E7BBF" w:rsidRPr="000E7BBF">
        <w:rPr>
          <w:sz w:val="28"/>
        </w:rPr>
        <w:lastRenderedPageBreak/>
        <w:t>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 xml:space="preserve">ния решений </w:t>
      </w:r>
      <w:r w:rsidR="00A758CA">
        <w:rPr>
          <w:sz w:val="28"/>
        </w:rPr>
        <w:lastRenderedPageBreak/>
        <w:t>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lastRenderedPageBreak/>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w:t>
      </w:r>
      <w:r w:rsidRPr="000E7BBF">
        <w:rPr>
          <w:color w:val="000000"/>
          <w:sz w:val="28"/>
        </w:rPr>
        <w:lastRenderedPageBreak/>
        <w:t>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lastRenderedPageBreak/>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 xml:space="preserve">Информация о проведении фотосъемки, аудио- и видеозаписи отражается в </w:t>
      </w:r>
      <w:r w:rsidRPr="000E7BBF">
        <w:rPr>
          <w:sz w:val="28"/>
        </w:rPr>
        <w:lastRenderedPageBreak/>
        <w:t>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w:t>
      </w:r>
      <w:r w:rsidRPr="000E7BBF">
        <w:rPr>
          <w:sz w:val="28"/>
        </w:rPr>
        <w:lastRenderedPageBreak/>
        <w:t>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w:t>
      </w:r>
      <w:r w:rsidRPr="000E7BBF">
        <w:rPr>
          <w:sz w:val="28"/>
        </w:rPr>
        <w:lastRenderedPageBreak/>
        <w:t>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w:t>
      </w:r>
      <w:r w:rsidRPr="000E7BBF">
        <w:rPr>
          <w:sz w:val="28"/>
        </w:rPr>
        <w:lastRenderedPageBreak/>
        <w:t>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A758CA" w:rsidRDefault="00A758CA"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 xml:space="preserve">К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w:t>
      </w:r>
      <w:proofErr w:type="spellStart"/>
      <w:r w:rsidRPr="008C559A">
        <w:rPr>
          <w:rFonts w:ascii="Times New Roman" w:hAnsi="Times New Roman"/>
          <w:color w:val="auto"/>
          <w:sz w:val="28"/>
          <w:szCs w:val="28"/>
        </w:rPr>
        <w:t>x</w:t>
      </w:r>
      <w:proofErr w:type="spellEnd"/>
      <w:r w:rsidRPr="008C559A">
        <w:rPr>
          <w:rFonts w:ascii="Times New Roman" w:hAnsi="Times New Roman"/>
          <w:color w:val="auto"/>
          <w:sz w:val="28"/>
          <w:szCs w:val="28"/>
        </w:rPr>
        <w:t xml:space="preserve">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w:t>
      </w:r>
      <w:r w:rsidRPr="00D51060">
        <w:rPr>
          <w:rFonts w:ascii="Times New Roman" w:hAnsi="Times New Roman"/>
          <w:sz w:val="28"/>
          <w:szCs w:val="28"/>
        </w:rPr>
        <w:lastRenderedPageBreak/>
        <w:t>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w:t>
      </w:r>
      <w:r w:rsidRPr="000E7BBF">
        <w:rPr>
          <w:rFonts w:ascii="Times New Roman" w:hAnsi="Times New Roman"/>
          <w:sz w:val="28"/>
          <w:szCs w:val="28"/>
        </w:rPr>
        <w:lastRenderedPageBreak/>
        <w:t>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B2" w:rsidRDefault="000A17B2" w:rsidP="000E7BBF">
      <w:r>
        <w:separator/>
      </w:r>
    </w:p>
  </w:endnote>
  <w:endnote w:type="continuationSeparator" w:id="0">
    <w:p w:rsidR="000A17B2" w:rsidRDefault="000A17B2"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B2" w:rsidRDefault="000A17B2" w:rsidP="000E7BBF">
      <w:r>
        <w:separator/>
      </w:r>
    </w:p>
  </w:footnote>
  <w:footnote w:type="continuationSeparator" w:id="0">
    <w:p w:rsidR="000A17B2" w:rsidRDefault="000A17B2"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2F2EE0" w:rsidRDefault="002F2EE0">
        <w:pPr>
          <w:pStyle w:val="ab"/>
          <w:jc w:val="center"/>
        </w:pPr>
        <w:fldSimple w:instr=" PAGE   \* MERGEFORMAT ">
          <w:r w:rsidR="003D71FF">
            <w:rPr>
              <w:noProof/>
            </w:rPr>
            <w:t>3</w:t>
          </w:r>
        </w:fldSimple>
      </w:p>
    </w:sdtContent>
  </w:sdt>
  <w:p w:rsidR="002F2EE0" w:rsidRDefault="002F2EE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26CA0"/>
    <w:rsid w:val="00030B2D"/>
    <w:rsid w:val="00034904"/>
    <w:rsid w:val="0004178C"/>
    <w:rsid w:val="00073005"/>
    <w:rsid w:val="000A17B2"/>
    <w:rsid w:val="000A31CF"/>
    <w:rsid w:val="000D09E5"/>
    <w:rsid w:val="000E7BBF"/>
    <w:rsid w:val="00101DA9"/>
    <w:rsid w:val="00123511"/>
    <w:rsid w:val="00156FED"/>
    <w:rsid w:val="00172994"/>
    <w:rsid w:val="001921DB"/>
    <w:rsid w:val="001B18A3"/>
    <w:rsid w:val="001B47B6"/>
    <w:rsid w:val="001D575E"/>
    <w:rsid w:val="001F4BF4"/>
    <w:rsid w:val="00241D52"/>
    <w:rsid w:val="00242BBB"/>
    <w:rsid w:val="00251281"/>
    <w:rsid w:val="002606F8"/>
    <w:rsid w:val="002731DC"/>
    <w:rsid w:val="00284EC2"/>
    <w:rsid w:val="002A3B33"/>
    <w:rsid w:val="002C4CF1"/>
    <w:rsid w:val="002D2FB2"/>
    <w:rsid w:val="002F2EE0"/>
    <w:rsid w:val="002F61B9"/>
    <w:rsid w:val="00324F99"/>
    <w:rsid w:val="00325596"/>
    <w:rsid w:val="0033450F"/>
    <w:rsid w:val="00335A2A"/>
    <w:rsid w:val="003509A4"/>
    <w:rsid w:val="0036522A"/>
    <w:rsid w:val="00381F21"/>
    <w:rsid w:val="0039201A"/>
    <w:rsid w:val="003A627A"/>
    <w:rsid w:val="003D4147"/>
    <w:rsid w:val="003D71FF"/>
    <w:rsid w:val="003E666D"/>
    <w:rsid w:val="003F011E"/>
    <w:rsid w:val="00406EAE"/>
    <w:rsid w:val="00411A4A"/>
    <w:rsid w:val="004166A8"/>
    <w:rsid w:val="00420BC5"/>
    <w:rsid w:val="004320CB"/>
    <w:rsid w:val="00447252"/>
    <w:rsid w:val="00477305"/>
    <w:rsid w:val="004A6ED3"/>
    <w:rsid w:val="004B4793"/>
    <w:rsid w:val="004D05F5"/>
    <w:rsid w:val="004D3A51"/>
    <w:rsid w:val="005064B0"/>
    <w:rsid w:val="00525B92"/>
    <w:rsid w:val="00561533"/>
    <w:rsid w:val="00563F9F"/>
    <w:rsid w:val="00570D0F"/>
    <w:rsid w:val="00591AB7"/>
    <w:rsid w:val="005A6752"/>
    <w:rsid w:val="005C2D4E"/>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27D5"/>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9433E"/>
    <w:rsid w:val="009A4FF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14B9-926E-45E9-A588-3D603733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11176</Words>
  <Characters>63706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ias-contr</cp:lastModifiedBy>
  <cp:revision>2</cp:revision>
  <dcterms:created xsi:type="dcterms:W3CDTF">2021-09-14T11:23:00Z</dcterms:created>
  <dcterms:modified xsi:type="dcterms:W3CDTF">2021-09-14T11:23:00Z</dcterms:modified>
</cp:coreProperties>
</file>