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41689C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41689C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8123CE" w:rsidRPr="0041689C" w:rsidRDefault="0072257C" w:rsidP="004168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89C">
        <w:rPr>
          <w:rFonts w:ascii="Times New Roman" w:hAnsi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1689C">
        <w:rPr>
          <w:rFonts w:ascii="Times New Roman" w:hAnsi="Times New Roman"/>
          <w:b w:val="0"/>
          <w:bCs/>
          <w:sz w:val="24"/>
          <w:szCs w:val="24"/>
        </w:rPr>
        <w:t xml:space="preserve">по </w:t>
      </w:r>
      <w:r w:rsidR="008123CE" w:rsidRPr="0041689C">
        <w:rPr>
          <w:rFonts w:ascii="Times New Roman" w:hAnsi="Times New Roman"/>
          <w:b w:val="0"/>
          <w:bCs/>
          <w:sz w:val="24"/>
          <w:szCs w:val="24"/>
        </w:rPr>
        <w:t>проекту решения совета депутатов Гатчинского муниципального района</w:t>
      </w:r>
      <w:r w:rsidR="008123CE" w:rsidRPr="0041689C">
        <w:rPr>
          <w:rFonts w:ascii="Times New Roman" w:hAnsi="Times New Roman"/>
          <w:bCs/>
          <w:sz w:val="24"/>
          <w:szCs w:val="24"/>
        </w:rPr>
        <w:t xml:space="preserve"> «</w:t>
      </w:r>
      <w:r w:rsidR="0041689C" w:rsidRPr="0041689C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="0041689C" w:rsidRPr="0041689C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положения о муниципальном </w:t>
      </w:r>
      <w:proofErr w:type="gramStart"/>
      <w:r w:rsidR="0041689C" w:rsidRPr="0041689C">
        <w:rPr>
          <w:rStyle w:val="bumpedfont15"/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="0041689C" w:rsidRPr="0041689C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1689C" w:rsidRPr="0041689C">
        <w:rPr>
          <w:rFonts w:ascii="Times New Roman" w:eastAsia="SimSun" w:hAnsi="Times New Roman" w:cs="Times New Roman"/>
          <w:b w:val="0"/>
          <w:iCs/>
          <w:kern w:val="3"/>
          <w:sz w:val="24"/>
          <w:szCs w:val="24"/>
          <w:lang w:eastAsia="zh-CN" w:bidi="hi-IN"/>
        </w:rPr>
        <w:t>н</w:t>
      </w:r>
      <w:r w:rsidR="0041689C" w:rsidRPr="0041689C">
        <w:rPr>
          <w:rFonts w:ascii="Times New Roman" w:eastAsia="SimSun" w:hAnsi="Times New Roman" w:cs="Times New Roman"/>
          <w:b w:val="0"/>
          <w:kern w:val="3"/>
          <w:sz w:val="24"/>
          <w:szCs w:val="24"/>
          <w:lang w:eastAsia="zh-CN" w:bidi="hi-IN"/>
        </w:rPr>
        <w:t xml:space="preserve">а территории </w:t>
      </w:r>
      <w:r w:rsidR="0041689C" w:rsidRPr="0041689C"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  <w:t>Гатчинского муниципального района</w:t>
      </w:r>
      <w:r w:rsidR="008A68B0" w:rsidRPr="0041689C">
        <w:rPr>
          <w:rFonts w:ascii="Times New Roman" w:hAnsi="Times New Roman"/>
          <w:bCs/>
          <w:sz w:val="24"/>
          <w:szCs w:val="24"/>
        </w:rPr>
        <w:t>».</w:t>
      </w:r>
    </w:p>
    <w:p w:rsidR="0072257C" w:rsidRPr="008123CE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15.09.2021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D55B2"/>
    <w:rsid w:val="00235AC0"/>
    <w:rsid w:val="003B122E"/>
    <w:rsid w:val="003E26F3"/>
    <w:rsid w:val="0041689C"/>
    <w:rsid w:val="0045026D"/>
    <w:rsid w:val="00563E2B"/>
    <w:rsid w:val="00645640"/>
    <w:rsid w:val="00670C67"/>
    <w:rsid w:val="006B2EC5"/>
    <w:rsid w:val="006D3491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  <w:style w:type="paragraph" w:customStyle="1" w:styleId="ConsPlusTitle">
    <w:name w:val="ConsPlusTitle"/>
    <w:rsid w:val="00416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umpedfont15">
    <w:name w:val="bumpedfont15"/>
    <w:basedOn w:val="a0"/>
    <w:rsid w:val="0041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2021-09-14T12:22:00Z</dcterms:created>
  <dcterms:modified xsi:type="dcterms:W3CDTF">2021-09-14T12:22:00Z</dcterms:modified>
</cp:coreProperties>
</file>