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УВЕДОМЛЕНИЕ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О ПУБЛИЧНОМ ОБСУЖДЕНИИ</w:t>
      </w:r>
    </w:p>
    <w:p w:rsidR="00A72F25" w:rsidRPr="001E2E42" w:rsidRDefault="00A72F25" w:rsidP="00A72F25">
      <w:pPr>
        <w:jc w:val="center"/>
        <w:rPr>
          <w:sz w:val="28"/>
          <w:szCs w:val="28"/>
        </w:rPr>
      </w:pPr>
      <w:r w:rsidRPr="001E2E42">
        <w:rPr>
          <w:sz w:val="28"/>
          <w:szCs w:val="28"/>
        </w:rPr>
        <w:t>ПРОЕКТА МУНИЦИПАЛЬНОГО НОРМАТИВНОГО ПРАВОВОГО АКТА</w:t>
      </w:r>
    </w:p>
    <w:p w:rsidR="00A72F25" w:rsidRPr="001E2E42" w:rsidRDefault="00A72F25" w:rsidP="00A72F25">
      <w:pPr>
        <w:outlineLvl w:val="0"/>
        <w:rPr>
          <w:sz w:val="28"/>
          <w:szCs w:val="28"/>
        </w:rPr>
      </w:pPr>
    </w:p>
    <w:p w:rsidR="001E2E42" w:rsidRPr="001E2E42" w:rsidRDefault="00A72F25" w:rsidP="001E2E42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 xml:space="preserve">Настоящим </w:t>
      </w:r>
      <w:bookmarkStart w:id="0" w:name="_GoBack"/>
      <w:bookmarkEnd w:id="0"/>
      <w:r w:rsidR="001E2E42" w:rsidRPr="00050AC5">
        <w:rPr>
          <w:b/>
          <w:sz w:val="28"/>
          <w:szCs w:val="28"/>
        </w:rPr>
        <w:t>Отдел по развитию малого, среднего бизнеса и потребительского рынка администрации Гатчинского муниципального</w:t>
      </w:r>
      <w:r w:rsidR="001E2E42" w:rsidRPr="001E2E42">
        <w:rPr>
          <w:sz w:val="28"/>
          <w:szCs w:val="28"/>
        </w:rPr>
        <w:t xml:space="preserve"> района </w:t>
      </w:r>
      <w:r w:rsidRPr="001E2E42">
        <w:rPr>
          <w:sz w:val="28"/>
          <w:szCs w:val="28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:rsidR="001E2E42" w:rsidRPr="00A74961" w:rsidRDefault="00A74961" w:rsidP="00A74961">
      <w:pPr>
        <w:pStyle w:val="ConsPlusTitle"/>
        <w:widowControl/>
        <w:spacing w:line="228" w:lineRule="auto"/>
        <w:ind w:right="-1"/>
        <w:jc w:val="both"/>
        <w:rPr>
          <w:sz w:val="28"/>
          <w:szCs w:val="28"/>
        </w:rPr>
      </w:pPr>
      <w:r w:rsidRPr="00A7496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74961">
        <w:rPr>
          <w:sz w:val="28"/>
          <w:szCs w:val="28"/>
        </w:rPr>
        <w:t xml:space="preserve"> администрации Гатчинского муниципального района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</w:p>
    <w:p w:rsidR="00A72F25" w:rsidRPr="00050AC5" w:rsidRDefault="00A72F25" w:rsidP="001E2E42">
      <w:pPr>
        <w:ind w:firstLine="720"/>
        <w:rPr>
          <w:b/>
          <w:sz w:val="28"/>
          <w:szCs w:val="28"/>
          <w:vertAlign w:val="superscript"/>
        </w:rPr>
      </w:pPr>
      <w:r w:rsidRPr="001E2E42">
        <w:rPr>
          <w:sz w:val="28"/>
          <w:szCs w:val="28"/>
        </w:rPr>
        <w:t>Разработчик проекта муниципального нормативного правового акта</w:t>
      </w:r>
      <w:r w:rsidR="001E2E42">
        <w:rPr>
          <w:sz w:val="28"/>
          <w:szCs w:val="28"/>
        </w:rPr>
        <w:t>:</w:t>
      </w:r>
      <w:r w:rsidRPr="001E2E42">
        <w:rPr>
          <w:sz w:val="28"/>
          <w:szCs w:val="28"/>
        </w:rPr>
        <w:t xml:space="preserve"> </w:t>
      </w:r>
      <w:r w:rsidR="001E2E42" w:rsidRPr="00050AC5">
        <w:rPr>
          <w:b/>
          <w:sz w:val="28"/>
          <w:szCs w:val="28"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1E2E42" w:rsidRPr="00050AC5" w:rsidRDefault="00A72F25" w:rsidP="00A72F25">
      <w:pPr>
        <w:ind w:firstLine="720"/>
        <w:rPr>
          <w:b/>
          <w:sz w:val="28"/>
          <w:szCs w:val="28"/>
        </w:rPr>
      </w:pPr>
      <w:r w:rsidRPr="001E2E42">
        <w:rPr>
          <w:sz w:val="28"/>
          <w:szCs w:val="28"/>
        </w:rPr>
        <w:t xml:space="preserve">Срок проведения публичного обсуждения: </w:t>
      </w:r>
      <w:r w:rsidR="001E2E42" w:rsidRPr="00050AC5">
        <w:rPr>
          <w:b/>
          <w:sz w:val="28"/>
          <w:szCs w:val="28"/>
        </w:rPr>
        <w:t xml:space="preserve">с </w:t>
      </w:r>
      <w:r w:rsidR="00A74961">
        <w:rPr>
          <w:b/>
          <w:sz w:val="28"/>
          <w:szCs w:val="28"/>
        </w:rPr>
        <w:t>19</w:t>
      </w:r>
      <w:r w:rsidR="001E2E42" w:rsidRPr="00050AC5">
        <w:rPr>
          <w:b/>
          <w:sz w:val="28"/>
          <w:szCs w:val="28"/>
        </w:rPr>
        <w:t>.04.201</w:t>
      </w:r>
      <w:r w:rsidR="00A74961">
        <w:rPr>
          <w:b/>
          <w:sz w:val="28"/>
          <w:szCs w:val="28"/>
        </w:rPr>
        <w:t>9</w:t>
      </w:r>
      <w:r w:rsidR="001E2E42" w:rsidRPr="00050AC5">
        <w:rPr>
          <w:b/>
          <w:sz w:val="28"/>
          <w:szCs w:val="28"/>
        </w:rPr>
        <w:t xml:space="preserve"> по 1</w:t>
      </w:r>
      <w:r w:rsidR="00A74961">
        <w:rPr>
          <w:b/>
          <w:sz w:val="28"/>
          <w:szCs w:val="28"/>
        </w:rPr>
        <w:t>6</w:t>
      </w:r>
      <w:r w:rsidR="001E2E42" w:rsidRPr="00050AC5">
        <w:rPr>
          <w:b/>
          <w:sz w:val="28"/>
          <w:szCs w:val="28"/>
        </w:rPr>
        <w:t>.05.2018</w:t>
      </w:r>
    </w:p>
    <w:p w:rsidR="00B213C4" w:rsidRDefault="00A72F25" w:rsidP="00B213C4">
      <w:pPr>
        <w:jc w:val="both"/>
        <w:rPr>
          <w:sz w:val="28"/>
          <w:szCs w:val="28"/>
        </w:rPr>
      </w:pPr>
      <w:r w:rsidRPr="001E2E42">
        <w:rPr>
          <w:sz w:val="28"/>
          <w:szCs w:val="28"/>
        </w:rPr>
        <w:t>Способ направления ответов: направление по электронной почте на адрес</w:t>
      </w:r>
      <w:r w:rsidR="001E2E42">
        <w:rPr>
          <w:sz w:val="28"/>
          <w:szCs w:val="28"/>
        </w:rPr>
        <w:t xml:space="preserve"> </w:t>
      </w:r>
      <w:hyperlink r:id="rId6" w:history="1">
        <w:r w:rsidR="001E2E42" w:rsidRPr="005A7F24">
          <w:rPr>
            <w:rStyle w:val="a9"/>
            <w:sz w:val="28"/>
            <w:szCs w:val="28"/>
            <w:lang w:val="en-US"/>
          </w:rPr>
          <w:t>otdelpotrebrynka</w:t>
        </w:r>
        <w:r w:rsidR="001E2E42" w:rsidRPr="001E2E42">
          <w:rPr>
            <w:rStyle w:val="a9"/>
            <w:sz w:val="28"/>
            <w:szCs w:val="28"/>
          </w:rPr>
          <w:t>@</w:t>
        </w:r>
        <w:r w:rsidR="001E2E42" w:rsidRPr="005A7F24">
          <w:rPr>
            <w:rStyle w:val="a9"/>
            <w:sz w:val="28"/>
            <w:szCs w:val="28"/>
            <w:lang w:val="en-US"/>
          </w:rPr>
          <w:t>yandex</w:t>
        </w:r>
        <w:r w:rsidR="001E2E42" w:rsidRPr="001E2E42">
          <w:rPr>
            <w:rStyle w:val="a9"/>
            <w:sz w:val="28"/>
            <w:szCs w:val="28"/>
          </w:rPr>
          <w:t>.</w:t>
        </w:r>
        <w:proofErr w:type="spellStart"/>
        <w:r w:rsidR="001E2E42" w:rsidRPr="005A7F2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1E2E42" w:rsidRPr="001E2E42">
        <w:rPr>
          <w:sz w:val="28"/>
          <w:szCs w:val="28"/>
        </w:rPr>
        <w:t xml:space="preserve"> </w:t>
      </w:r>
      <w:r w:rsidR="001E2E42" w:rsidRPr="00B213C4">
        <w:rPr>
          <w:sz w:val="28"/>
          <w:szCs w:val="28"/>
        </w:rPr>
        <w:t xml:space="preserve">в виде прикрепленного файла, составленного (заполненного) по прилагаемой форме </w:t>
      </w:r>
      <w:hyperlink r:id="rId7" w:history="1">
        <w:r w:rsidR="001E2E42" w:rsidRPr="00B213C4">
          <w:rPr>
            <w:sz w:val="28"/>
            <w:szCs w:val="28"/>
          </w:rPr>
          <w:t>опросного листа</w:t>
        </w:r>
      </w:hyperlink>
      <w:r w:rsidR="001E2E42" w:rsidRPr="00B213C4">
        <w:rPr>
          <w:sz w:val="28"/>
          <w:szCs w:val="28"/>
        </w:rPr>
        <w:t xml:space="preserve">. </w:t>
      </w:r>
    </w:p>
    <w:p w:rsidR="001E2E42" w:rsidRPr="00B213C4" w:rsidRDefault="001E2E42" w:rsidP="00B213C4">
      <w:pPr>
        <w:ind w:firstLine="708"/>
        <w:jc w:val="both"/>
        <w:rPr>
          <w:sz w:val="28"/>
          <w:szCs w:val="28"/>
        </w:rPr>
      </w:pPr>
      <w:r w:rsidRPr="00B213C4">
        <w:rPr>
          <w:sz w:val="28"/>
          <w:szCs w:val="28"/>
        </w:rPr>
        <w:t>Контактное лицо по вопросам заполнения формы опросного листа и его отправки: Косачева Марина Эдуардовна, главный специалист отдела по развитию малого, среднего бизнеса и потребительского рынка администрации Гатчинского муниципального района, тел. 8-813-71-76-314, часы раб. 09.00-17.00 (перерыв: 13.00-14.00)</w:t>
      </w:r>
    </w:p>
    <w:p w:rsidR="00A72F25" w:rsidRPr="001E2E42" w:rsidRDefault="00A72F25" w:rsidP="00A72F25">
      <w:pPr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Прилагаемые к уведомлению документы: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1. Проект муниципального нормативного правового акта</w:t>
      </w:r>
      <w:r w:rsidR="00050AC5">
        <w:rPr>
          <w:sz w:val="28"/>
          <w:szCs w:val="28"/>
        </w:rPr>
        <w:t>.</w:t>
      </w:r>
    </w:p>
    <w:p w:rsidR="00A72F25" w:rsidRPr="001E2E42" w:rsidRDefault="00A72F25" w:rsidP="00A72F25">
      <w:pPr>
        <w:ind w:firstLine="720"/>
        <w:jc w:val="both"/>
        <w:rPr>
          <w:sz w:val="28"/>
          <w:szCs w:val="28"/>
        </w:rPr>
      </w:pPr>
      <w:r w:rsidRPr="001E2E42">
        <w:rPr>
          <w:sz w:val="28"/>
          <w:szCs w:val="28"/>
        </w:rP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A72F25" w:rsidRDefault="00A72F25" w:rsidP="00A72F25">
      <w:pPr>
        <w:spacing w:after="120"/>
        <w:ind w:firstLine="720"/>
        <w:rPr>
          <w:sz w:val="28"/>
          <w:szCs w:val="28"/>
        </w:rPr>
      </w:pPr>
      <w:r w:rsidRPr="001E2E42">
        <w:rPr>
          <w:sz w:val="28"/>
          <w:szCs w:val="28"/>
        </w:rPr>
        <w:t>3. Опросный лист.</w:t>
      </w:r>
    </w:p>
    <w:p w:rsidR="00A74961" w:rsidRPr="00A74961" w:rsidRDefault="00A74961" w:rsidP="00A72F25">
      <w:pPr>
        <w:spacing w:after="120"/>
        <w:ind w:firstLine="720"/>
      </w:pPr>
      <w:r w:rsidRPr="00A74961">
        <w:t>Комментарий:</w:t>
      </w:r>
    </w:p>
    <w:p w:rsidR="00A74961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A74961">
        <w:rPr>
          <w:b w:val="0"/>
        </w:rPr>
        <w:t xml:space="preserve">Проект постановления </w:t>
      </w:r>
      <w:r w:rsidRPr="00A74961">
        <w:rPr>
          <w:b w:val="0"/>
        </w:rPr>
        <w:t>администрации Гатчинского муниципального района 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 уменьшает сроки предоставления муниципальной услуги</w:t>
      </w:r>
      <w:r>
        <w:rPr>
          <w:b w:val="0"/>
        </w:rPr>
        <w:t>.</w:t>
      </w:r>
    </w:p>
    <w:p w:rsidR="00A74961" w:rsidRPr="00050AC5" w:rsidRDefault="00A74961" w:rsidP="00A74961">
      <w:pPr>
        <w:ind w:firstLine="708"/>
        <w:jc w:val="both"/>
        <w:rPr>
          <w:sz w:val="22"/>
          <w:szCs w:val="22"/>
        </w:rPr>
      </w:pPr>
      <w:r w:rsidRPr="00050AC5">
        <w:rPr>
          <w:sz w:val="22"/>
          <w:szCs w:val="22"/>
        </w:rPr>
        <w:t xml:space="preserve"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Pr="00050AC5">
        <w:rPr>
          <w:sz w:val="22"/>
          <w:szCs w:val="22"/>
        </w:rPr>
        <w:lastRenderedPageBreak/>
        <w:t>бюджета Гатчинского муниципального района</w:t>
      </w:r>
      <w:r>
        <w:rPr>
          <w:sz w:val="22"/>
          <w:szCs w:val="22"/>
        </w:rPr>
        <w:t>, отдел по развитию малого, среднего бизнеса и потребительского рынка администрации Гатчинского муниципального района</w:t>
      </w:r>
      <w:r>
        <w:rPr>
          <w:sz w:val="22"/>
          <w:szCs w:val="22"/>
        </w:rPr>
        <w:t xml:space="preserve"> </w:t>
      </w:r>
      <w:r w:rsidRPr="00050AC5">
        <w:rPr>
          <w:sz w:val="22"/>
          <w:szCs w:val="22"/>
        </w:rPr>
        <w:t xml:space="preserve">в соответствии с </w:t>
      </w:r>
      <w:hyperlink r:id="rId8" w:history="1">
        <w:r w:rsidRPr="00050AC5">
          <w:rPr>
            <w:sz w:val="22"/>
            <w:szCs w:val="22"/>
          </w:rPr>
          <w:t>пунктом 3.2</w:t>
        </w:r>
      </w:hyperlink>
      <w:r>
        <w:rPr>
          <w:sz w:val="22"/>
          <w:szCs w:val="22"/>
        </w:rPr>
        <w:t xml:space="preserve"> </w:t>
      </w:r>
      <w:r w:rsidRPr="00050AC5">
        <w:rPr>
          <w:sz w:val="22"/>
          <w:szCs w:val="22"/>
        </w:rPr>
        <w:t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от</w:t>
      </w:r>
      <w:r>
        <w:rPr>
          <w:sz w:val="22"/>
          <w:szCs w:val="22"/>
        </w:rPr>
        <w:t xml:space="preserve"> 15.09.2016</w:t>
      </w:r>
      <w:r w:rsidRPr="00050AC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4377 (</w:t>
      </w:r>
      <w:r>
        <w:rPr>
          <w:sz w:val="22"/>
          <w:szCs w:val="22"/>
        </w:rPr>
        <w:t>с изменениями и дополнениями</w:t>
      </w:r>
      <w:r>
        <w:rPr>
          <w:sz w:val="22"/>
          <w:szCs w:val="22"/>
        </w:rPr>
        <w:t>)</w:t>
      </w:r>
      <w:r w:rsidRPr="00050AC5">
        <w:rPr>
          <w:sz w:val="22"/>
          <w:szCs w:val="22"/>
        </w:rPr>
        <w:t xml:space="preserve"> проводит публичное обсуждение.</w:t>
      </w:r>
    </w:p>
    <w:p w:rsidR="00A74961" w:rsidRPr="00A74961" w:rsidRDefault="00A74961" w:rsidP="00A74961">
      <w:pPr>
        <w:pStyle w:val="ConsPlusTitle"/>
        <w:widowControl/>
        <w:spacing w:line="228" w:lineRule="auto"/>
        <w:ind w:right="-1" w:firstLine="708"/>
        <w:jc w:val="both"/>
        <w:rPr>
          <w:b w:val="0"/>
        </w:rPr>
      </w:pPr>
      <w:r w:rsidRPr="00A74961">
        <w:rPr>
          <w:b w:val="0"/>
          <w:sz w:val="22"/>
          <w:szCs w:val="22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A74961" w:rsidRPr="00A74961" w:rsidRDefault="00A74961" w:rsidP="00A72F25">
      <w:pPr>
        <w:spacing w:after="120"/>
        <w:ind w:firstLine="720"/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560"/>
        <w:gridCol w:w="1960"/>
        <w:gridCol w:w="560"/>
        <w:gridCol w:w="3441"/>
        <w:gridCol w:w="418"/>
        <w:gridCol w:w="7"/>
      </w:tblGrid>
      <w:tr w:rsidR="00050AC5" w:rsidRPr="001E2E42" w:rsidTr="00A74961">
        <w:trPr>
          <w:gridAfter w:val="1"/>
          <w:wAfter w:w="7" w:type="dxa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</w:tr>
      <w:tr w:rsidR="00B213C4" w:rsidRPr="001E2E42" w:rsidTr="00A74961"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3C4" w:rsidRPr="001E2E42" w:rsidRDefault="00B213C4" w:rsidP="00050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развитию малого среднего бизнеса и потребительского рынка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213C4" w:rsidRPr="001E2E42" w:rsidRDefault="00B213C4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3C4" w:rsidRDefault="00B213C4" w:rsidP="00050AC5">
            <w:pPr>
              <w:jc w:val="both"/>
              <w:rPr>
                <w:sz w:val="28"/>
                <w:szCs w:val="28"/>
              </w:rPr>
            </w:pPr>
          </w:p>
          <w:p w:rsidR="00B213C4" w:rsidRPr="001E2E42" w:rsidRDefault="00B213C4" w:rsidP="00050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</w:rPr>
              <w:t>Н.А.Рудченко</w:t>
            </w:r>
            <w:proofErr w:type="spellEnd"/>
          </w:p>
        </w:tc>
      </w:tr>
      <w:tr w:rsidR="00050AC5" w:rsidRPr="001E2E42" w:rsidTr="00A74961">
        <w:trPr>
          <w:gridAfter w:val="2"/>
          <w:wAfter w:w="425" w:type="dxa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050AC5" w:rsidRPr="001E2E42" w:rsidRDefault="00050AC5" w:rsidP="00050A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2F25" w:rsidRDefault="00A72F25" w:rsidP="00A72F25">
      <w:pPr>
        <w:spacing w:after="120"/>
        <w:ind w:firstLine="720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>
      <w:pPr>
        <w:ind w:firstLine="540"/>
        <w:jc w:val="right"/>
        <w:rPr>
          <w:sz w:val="22"/>
          <w:szCs w:val="22"/>
        </w:rPr>
      </w:pPr>
    </w:p>
    <w:p w:rsidR="00A72F25" w:rsidRDefault="00A72F25" w:rsidP="00A72F25"/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A72F25" w:rsidRDefault="00A72F25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p w:rsidR="00B213C4" w:rsidRDefault="00B213C4" w:rsidP="00A72F25">
      <w:pPr>
        <w:rPr>
          <w:b/>
        </w:rPr>
      </w:pPr>
    </w:p>
    <w:sectPr w:rsidR="00B213C4" w:rsidSect="002335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C54BF"/>
    <w:multiLevelType w:val="hybridMultilevel"/>
    <w:tmpl w:val="D77419BE"/>
    <w:lvl w:ilvl="0" w:tplc="59FC6B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14DDA"/>
    <w:multiLevelType w:val="hybridMultilevel"/>
    <w:tmpl w:val="A1A6CD84"/>
    <w:lvl w:ilvl="0" w:tplc="909AD562">
      <w:start w:val="2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F579B4"/>
    <w:multiLevelType w:val="hybridMultilevel"/>
    <w:tmpl w:val="13A0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5"/>
    <w:rsid w:val="00050AC5"/>
    <w:rsid w:val="00081BCF"/>
    <w:rsid w:val="001E2E42"/>
    <w:rsid w:val="002335F0"/>
    <w:rsid w:val="00240550"/>
    <w:rsid w:val="00252099"/>
    <w:rsid w:val="00341325"/>
    <w:rsid w:val="00395828"/>
    <w:rsid w:val="005E341B"/>
    <w:rsid w:val="006C4388"/>
    <w:rsid w:val="00815626"/>
    <w:rsid w:val="008B402D"/>
    <w:rsid w:val="00A3319F"/>
    <w:rsid w:val="00A72F25"/>
    <w:rsid w:val="00A74961"/>
    <w:rsid w:val="00AC513C"/>
    <w:rsid w:val="00B213C4"/>
    <w:rsid w:val="00C13AD3"/>
    <w:rsid w:val="00C429E1"/>
    <w:rsid w:val="00C552B0"/>
    <w:rsid w:val="00D26209"/>
    <w:rsid w:val="00DB64B4"/>
    <w:rsid w:val="00F70BF8"/>
    <w:rsid w:val="00F8645E"/>
    <w:rsid w:val="00FA453E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1DA"/>
  <w15:chartTrackingRefBased/>
  <w15:docId w15:val="{4D4B606D-79E6-4C47-A15D-4E71AF46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F25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F2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72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A72F2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A72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rsid w:val="00A72F25"/>
    <w:rPr>
      <w:rFonts w:cs="Times New Roman"/>
      <w:color w:val="auto"/>
    </w:rPr>
  </w:style>
  <w:style w:type="paragraph" w:styleId="a8">
    <w:name w:val="No Spacing"/>
    <w:uiPriority w:val="1"/>
    <w:qFormat/>
    <w:rsid w:val="00A7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rsid w:val="00A72F25"/>
    <w:rPr>
      <w:color w:val="000080"/>
      <w:u w:val="single"/>
    </w:rPr>
  </w:style>
  <w:style w:type="paragraph" w:customStyle="1" w:styleId="ConsPlusTitle">
    <w:name w:val="ConsPlusTitle"/>
    <w:uiPriority w:val="99"/>
    <w:rsid w:val="001E2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4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potrebrynk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EB91E-B74A-4937-88BF-BCA831B5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9</cp:revision>
  <cp:lastPrinted>2018-04-24T13:45:00Z</cp:lastPrinted>
  <dcterms:created xsi:type="dcterms:W3CDTF">2018-04-24T05:22:00Z</dcterms:created>
  <dcterms:modified xsi:type="dcterms:W3CDTF">2019-04-17T13:31:00Z</dcterms:modified>
</cp:coreProperties>
</file>