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br/>
        <w:t xml:space="preserve">                              Заместитель председателя комиссии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по подготовке проектов  правил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землепользования и застройки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сельских  поселений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Гатчинского муниципального района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/>
      </w:pP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Е.В.Гречухина______________</w:t>
      </w:r>
      <w:r>
        <w:rPr>
          <w:bCs/>
          <w:sz w:val="28"/>
          <w:szCs w:val="28"/>
          <w:highlight w:val="white"/>
        </w:rPr>
        <w:t>2</w:t>
      </w:r>
      <w:r>
        <w:rPr>
          <w:bCs/>
          <w:sz w:val="28"/>
          <w:szCs w:val="28"/>
          <w:highlight w:val="white"/>
          <w:lang w:val="en-US"/>
        </w:rPr>
        <w:t>5</w:t>
      </w:r>
      <w:r>
        <w:rPr>
          <w:bCs/>
          <w:sz w:val="28"/>
          <w:szCs w:val="28"/>
          <w:highlight w:val="white"/>
        </w:rPr>
        <w:t>.0</w:t>
      </w:r>
      <w:r>
        <w:rPr>
          <w:bCs/>
          <w:sz w:val="28"/>
          <w:szCs w:val="28"/>
          <w:highlight w:val="white"/>
          <w:lang w:val="en-US"/>
        </w:rPr>
        <w:t>9</w:t>
      </w:r>
      <w:r>
        <w:rPr>
          <w:bCs/>
          <w:sz w:val="28"/>
          <w:szCs w:val="28"/>
          <w:highlight w:val="white"/>
        </w:rPr>
        <w:t>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(Ф.И.О., подпись, дата)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sz w:val="28"/>
          <w:szCs w:val="28"/>
          <w:u w:val="single"/>
        </w:rPr>
        <w:t>решения о предоставлении разрешения на условно разрешенный вид использования 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(наименование проекта/вопроса)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bCs/>
          <w:color w:val="000000"/>
          <w:sz w:val="28"/>
          <w:szCs w:val="28"/>
        </w:rPr>
        <w:t>1. Дата оформления заключения о результатах общественных обсуждений или публ</w:t>
      </w:r>
      <w:bookmarkStart w:id="0" w:name="_GoBack"/>
      <w:bookmarkEnd w:id="0"/>
      <w:r>
        <w:rPr>
          <w:bCs/>
          <w:color w:val="000000"/>
          <w:sz w:val="28"/>
          <w:szCs w:val="28"/>
        </w:rPr>
        <w:t>ичных слушаний:</w:t>
      </w:r>
      <w:r>
        <w:rPr>
          <w:bCs/>
          <w:color w:val="000000"/>
          <w:sz w:val="28"/>
          <w:szCs w:val="28"/>
          <w:highlight w:val="white"/>
        </w:rPr>
        <w:t xml:space="preserve"> 25.09.2018.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Протокол № 4 публичных слушаний по проекту решения о предоставлении разрешения на условно разрешенный вид использования </w:t>
      </w:r>
      <w:r>
        <w:rPr>
          <w:bCs/>
          <w:color w:val="000000"/>
          <w:sz w:val="28"/>
          <w:szCs w:val="28"/>
          <w:u w:val="single"/>
        </w:rPr>
        <w:t>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</w:t>
      </w:r>
      <w:r>
        <w:rPr>
          <w:bCs/>
          <w:color w:val="000000"/>
          <w:sz w:val="28"/>
          <w:szCs w:val="28"/>
        </w:rPr>
        <w:t>, дата оформления –</w:t>
      </w:r>
      <w:r>
        <w:rPr>
          <w:bCs/>
          <w:color w:val="000000"/>
          <w:sz w:val="28"/>
          <w:szCs w:val="28"/>
          <w:highlight w:val="white"/>
        </w:rPr>
        <w:t xml:space="preserve"> 25.09.2018, дата утверждения – 25.09.2018.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highlight w:val="white"/>
        </w:rPr>
        <w:t>3. Общие сведения о проекте, представленном</w:t>
      </w:r>
      <w:r>
        <w:rPr>
          <w:bCs/>
          <w:color w:val="000000"/>
          <w:sz w:val="28"/>
          <w:szCs w:val="28"/>
        </w:rPr>
        <w:t xml:space="preserve"> на общественные обсуждения или публичные слушания: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>
        <w:rPr>
          <w:bCs/>
          <w:color w:val="000000"/>
          <w:sz w:val="28"/>
          <w:szCs w:val="28"/>
          <w:u w:val="single"/>
        </w:rPr>
        <w:t>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</w:t>
      </w:r>
      <w:r>
        <w:rPr>
          <w:bCs/>
          <w:color w:val="000000"/>
          <w:sz w:val="28"/>
          <w:szCs w:val="28"/>
        </w:rPr>
        <w:t>, Фактический вид разрешенного использования: «отдельно стоящие индивидуальные, усадебные жилые дома с придомовыми участками, с возможностью содержания  и разведения домашнего скота и птицы (ЛПХ)». Испрашиваемый условно разрешенный вид использования: 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 запрашивается с целью необходимости строительства амбулаторно-поликлинические учреждения в п.Сусанино.</w:t>
      </w:r>
      <w:r>
        <w:rPr>
          <w:bCs/>
          <w:color w:val="800080"/>
          <w:sz w:val="28"/>
          <w:szCs w:val="28"/>
        </w:rPr>
        <w:t xml:space="preserve">  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4. Заявитель (инициатор публичных слушаний /общественных обсуждений): Комитет по управлению имуществом Гатчинского муниципального района.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0" w:firstLine="340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Постановление Главы Гатчинского муниципального района от 03.09.2018 № 151, газета «Гатчинская правда» от 06.09.2018 №67(21060);</w:t>
      </w:r>
      <w:r>
        <w:rPr>
          <w:rFonts w:eastAsia="Calibri" w:eastAsiaTheme="minorHAnsi"/>
          <w:color w:val="80008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официальный сайт Гатчинского муниципального района по адресу: http://radm.gtn.ru размещено 07.09.2018, официальный сайт МО «Сусанинское сельское поселение» по адресу: http://сусанинское.рф/ опубликовано 04.09.2018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7. Срок проведения общественных обсуждений или публичных слушаний: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0" w:firstLine="283"/>
        <w:jc w:val="left"/>
        <w:rPr/>
      </w:pPr>
      <w:r>
        <w:rPr>
          <w:bCs/>
          <w:color w:val="000000"/>
          <w:sz w:val="28"/>
          <w:szCs w:val="28"/>
        </w:rPr>
        <w:t>начало публичных слушаний – 18.09.2018 (дата публикации оповещения);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0" w:firstLine="283"/>
        <w:jc w:val="both"/>
        <w:rPr/>
      </w:pPr>
      <w:r>
        <w:rPr>
          <w:bCs/>
          <w:color w:val="000000"/>
          <w:sz w:val="28"/>
          <w:szCs w:val="28"/>
        </w:rPr>
        <w:t>окончание приема заявлений, предложении, замечаний к проекту – 24.09.2018;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rPr>
          <w:bCs/>
          <w:color w:val="80008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(настоящее заключение подлежит публикации в срок </w:t>
      </w:r>
      <w:r>
        <w:rPr>
          <w:bCs/>
          <w:color w:val="000000"/>
          <w:sz w:val="28"/>
          <w:szCs w:val="28"/>
        </w:rPr>
        <w:t>до 04.10.2018).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8. Формы оповещения о проведении общественных обсуждений или публичных слушаний (название, номер, дата печатных изданий и др. формы):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0" w:firstLine="340"/>
        <w:jc w:val="both"/>
        <w:rPr/>
      </w:pPr>
      <w:r>
        <w:rPr>
          <w:bCs/>
          <w:color w:val="000000"/>
          <w:sz w:val="28"/>
          <w:szCs w:val="28"/>
        </w:rPr>
        <w:t>сообщение о начале публичных слушаний опубликовано в газете «Гатчинская правда» от 06.09.2018 №67(21060); размещено на официальном сайте Гатчинского муниципального района по адресу: http://radm.gtn.ru 07.09.2018, на официальном сайте МО «Сусанинское сельское поселение» по адресу: http://сусанинское.рф/ 04.09.2018, на информационном стенде в здании администрации МО Сусанинское сельское поселен</w:t>
      </w:r>
      <w:r>
        <w:rPr>
          <w:bCs/>
          <w:color w:val="000000"/>
          <w:sz w:val="28"/>
          <w:szCs w:val="28"/>
          <w:highlight w:val="white"/>
        </w:rPr>
        <w:t>ие 08.09.2018; распространено на территории Сусанинского сельского поселения в местах массового скопления граждан 08.09.2018.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 материалам (где и когда проведена):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0" w:firstLine="34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экспозиция проекта проводилась в здании администрации в здании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проведения и режим работы экспозиции проекта: 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right="0" w:firstLine="397"/>
        <w:jc w:val="left"/>
        <w:rPr/>
      </w:pPr>
      <w:r>
        <w:rPr>
          <w:bCs/>
          <w:color w:val="000000"/>
          <w:sz w:val="28"/>
          <w:szCs w:val="28"/>
          <w:u w:val="none"/>
        </w:rPr>
        <w:t>с 08.09.2018 по 24.09.2018</w:t>
      </w:r>
      <w:r>
        <w:rPr>
          <w:bCs/>
          <w:color w:val="80008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18.09.2018 в 17-00, по адресу: Ленинградская область, Гатчинский район, п. Сусанино, Петровский проспект, д. 20, здание администрации МО «Сусанинское сельское поселение.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397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Ванагелис З.В.– секретарь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34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Аввакумов А.Н. – председатель комитета по управлению имуществом Гатчинского муниципального района.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Гречухина Е.В. – председатель комитета по архитектуре;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представители администрации Сусанинского сельского поселения: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Бордовская Е.В. – глава администрации;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Федоренко В.В. – заместитель главы администрации;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Бирало Т.В. – начальник сектора администрации;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Егорова С.М. – ведущий специалист администрации.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17=00 объявлено начало собрания участников публичных слушаний.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Аввакумов А.Н. передал слово для выступления с обоснованием необходимости предоставления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разрешения на условно разрешенный вид использования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 с целью предоставления данного земельного участка под строительство амбулаторно-поликлинического учреждения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главе администрации Сусанинского сельского поселения.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Бордовская Е.В. выступила с обоснованием необходимости предоставления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разрешения на условно разрешенный вид использования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«амбулаторно-поликлинические учреждения общей площадью не более 600 кв.м.» для земельного участка расположенного по адресу: Ленинградская область, Гатчинский район, п.Сусанино, 5-я линия,  уч. 93.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В данный момент амбулаторно поликлиническое учреждение располагается в помещении школы. При постройке здания  амбулаторно поликлинического учреждения решаться сразу две задачи: освободятся площади в здании школы — есть необходимость увеличить количество дошкольных групп и будет хорошее медицинское обслуживание жителей Сусанинского сельского поселения. Данный земельный участок как нельзя лучше подходит для целей строительства амбулаторно поликлинического учреждения.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Замечаний и предложений не поступило, собрание объявлено состоявшимся.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11.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количество участников публичных с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лушаний – </w:t>
      </w: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0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12. Предложения и замечания</w:t>
      </w:r>
      <w:r>
        <w:rPr>
          <w:color w:val="000000"/>
          <w:sz w:val="28"/>
          <w:szCs w:val="28"/>
        </w:rPr>
        <w:t xml:space="preserve"> участников общественных обсуждений или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>
      <w:pPr>
        <w:pStyle w:val="Normal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10176" w:type="dxa"/>
        <w:jc w:val="lef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41"/>
        <w:gridCol w:w="5934"/>
      </w:tblGrid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13.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10176" w:type="dxa"/>
        <w:jc w:val="lef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41"/>
        <w:gridCol w:w="5934"/>
      </w:tblGrid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14. Выводы и рекомендации по проведению общественных обсуждений или публичных слушаний по проекту: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 Комитета по управлению имуществом Гатчинского муниципального района и протокол публичных слушаний по проекту решения о предоставлении разрешения на условно разрешенный вид использования</w:t>
      </w:r>
      <w:r>
        <w:rPr>
          <w:bCs/>
          <w:color w:val="80008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none"/>
        </w:rPr>
        <w:t>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</w:t>
      </w:r>
      <w:r>
        <w:rPr>
          <w:bCs/>
          <w:color w:val="000000"/>
          <w:sz w:val="28"/>
          <w:szCs w:val="28"/>
        </w:rPr>
        <w:t>, и пришла к следующим выводам.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Заявление Комитета по управлению имуществом Гатчинского муниципального района считать обоснованным. Фактов, препятствующих использованию земельного участка в качестве </w:t>
      </w:r>
      <w:r>
        <w:rPr>
          <w:bCs/>
          <w:color w:val="000000"/>
          <w:sz w:val="28"/>
          <w:szCs w:val="28"/>
          <w:u w:val="none"/>
        </w:rPr>
        <w:t>«амбулаторно-поликлинические учреждения общей площадью не более 600 кв.м.»</w:t>
      </w:r>
      <w:r>
        <w:rPr>
          <w:bCs/>
          <w:color w:val="000000"/>
          <w:sz w:val="28"/>
          <w:szCs w:val="28"/>
        </w:rPr>
        <w:t xml:space="preserve"> Комиссией не выявлено. Предложений и замечаний в период проведения публичных слушаний по проекту в Комиссию не поступало.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Таким образом, комиссия по подготовке проектов правил землепользования и застройки сельских поселений Гатчинского муниципального района считает необходимость предоставления разрешения на условно разрешенный вид использования </w:t>
      </w:r>
      <w:r>
        <w:rPr>
          <w:bCs/>
          <w:color w:val="000000"/>
          <w:sz w:val="28"/>
          <w:szCs w:val="28"/>
          <w:u w:val="none"/>
        </w:rPr>
        <w:t>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</w:t>
      </w:r>
      <w:r>
        <w:rPr>
          <w:bCs/>
          <w:color w:val="000000"/>
          <w:sz w:val="28"/>
          <w:szCs w:val="28"/>
        </w:rPr>
        <w:t xml:space="preserve"> обоснованной и рекомендует разрешение предоставить.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по подготовке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правил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застройки 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sz w:val="28"/>
          <w:szCs w:val="28"/>
        </w:rPr>
        <w:t>Гатчинского муниципального района      Ванагелис З.В._______</w:t>
      </w:r>
      <w:r>
        <w:rPr>
          <w:bCs/>
          <w:sz w:val="28"/>
          <w:szCs w:val="28"/>
        </w:rPr>
        <w:t>_</w:t>
      </w:r>
      <w:r>
        <w:rPr>
          <w:bCs/>
          <w:color w:val="000000"/>
          <w:sz w:val="28"/>
          <w:szCs w:val="28"/>
        </w:rPr>
        <w:t>_2</w:t>
      </w:r>
      <w:r>
        <w:rPr>
          <w:bCs/>
          <w:color w:val="000000"/>
          <w:sz w:val="28"/>
          <w:szCs w:val="28"/>
          <w:lang w:val="en-US"/>
        </w:rPr>
        <w:t>5</w:t>
      </w:r>
      <w:r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  <w:lang w:val="en-US"/>
        </w:rPr>
        <w:t>9</w:t>
      </w:r>
      <w:r>
        <w:rPr>
          <w:bCs/>
          <w:color w:val="000000"/>
          <w:sz w:val="28"/>
          <w:szCs w:val="28"/>
        </w:rPr>
        <w:t xml:space="preserve">.2018 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bCs/>
          <w:sz w:val="22"/>
          <w:szCs w:val="22"/>
        </w:rPr>
        <w:t xml:space="preserve">(Ф.И.О., подпись, дата)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699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ab16bd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  <w:sz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  <w:sz w:val="28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  <w:sz w:val="28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  <w:sz w:val="28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8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  <w:sz w:val="28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  <w:sz w:val="28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  <w:sz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  <w:sz w:val="28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  <w:sz w:val="28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  <w:sz w:val="28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  <w:sz w:val="28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  <w:sz w:val="28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  <w:sz w:val="28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  <w:sz w:val="28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8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1df5"/>
    <w:pPr>
      <w:spacing w:before="0" w:after="0"/>
      <w:ind w:left="720" w:hanging="0"/>
      <w:contextualSpacing/>
    </w:pPr>
    <w:rPr/>
  </w:style>
  <w:style w:type="paragraph" w:styleId="Style22">
    <w:name w:val="Header"/>
    <w:basedOn w:val="Normal"/>
    <w:link w:val="a5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b16b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LibreOffice/6.1.0.3$Windows_X86_64 LibreOffice_project/efb621ed25068d70781dc026f7e9c5187a4decd1</Application>
  <Pages>5</Pages>
  <Words>1199</Words>
  <Characters>9355</Characters>
  <CharactersWithSpaces>10667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2018-06-18T05:01:00Z</dcterms:created>
  <dc:creator>Пучкова Яна Олеговна</dc:creator>
  <dc:description/>
  <dc:language>ru-RU</dc:language>
  <cp:lastModifiedBy/>
  <cp:lastPrinted>2018-09-20T16:58:14Z</cp:lastPrinted>
  <dcterms:modified xsi:type="dcterms:W3CDTF">2018-09-24T13:00:04Z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