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6E3" w:rsidRPr="00072212" w:rsidRDefault="00FE46E3" w:rsidP="00072212">
      <w:pPr>
        <w:spacing w:after="0" w:line="240" w:lineRule="auto"/>
        <w:rPr>
          <w:b/>
          <w:sz w:val="16"/>
          <w:szCs w:val="16"/>
        </w:rPr>
      </w:pPr>
    </w:p>
    <w:p w:rsidR="00490EAE" w:rsidRPr="00490EAE" w:rsidRDefault="00490EAE" w:rsidP="00490EAE">
      <w:pPr>
        <w:spacing w:after="0" w:line="240" w:lineRule="auto"/>
        <w:ind w:right="-1"/>
        <w:jc w:val="right"/>
        <w:rPr>
          <w:rFonts w:ascii="Times New Roman" w:hAnsi="Times New Roman"/>
          <w:sz w:val="24"/>
          <w:szCs w:val="24"/>
        </w:rPr>
      </w:pPr>
      <w:r w:rsidRPr="00490EAE">
        <w:rPr>
          <w:rFonts w:ascii="Times New Roman" w:hAnsi="Times New Roman"/>
          <w:sz w:val="24"/>
          <w:szCs w:val="24"/>
        </w:rPr>
        <w:t>ПРИЛОЖЕНИЕ</w:t>
      </w:r>
    </w:p>
    <w:p w:rsidR="00490EAE" w:rsidRDefault="00490EAE" w:rsidP="001067EB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p w:rsidR="001067EB" w:rsidRDefault="001067EB" w:rsidP="001067EB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ДОКЛАД </w:t>
      </w:r>
    </w:p>
    <w:p w:rsidR="001067EB" w:rsidRPr="007B76B9" w:rsidRDefault="001067EB" w:rsidP="001067EB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B76B9">
        <w:rPr>
          <w:rFonts w:ascii="Times New Roman" w:hAnsi="Times New Roman"/>
          <w:b/>
          <w:sz w:val="28"/>
          <w:szCs w:val="28"/>
        </w:rPr>
        <w:t>О ДЕЯТЕЛЬНОСТИ ОБЩЕСТВЕННОЙ ПАЛАТЫ</w:t>
      </w:r>
    </w:p>
    <w:p w:rsidR="001067EB" w:rsidRPr="007B76B9" w:rsidRDefault="001067EB" w:rsidP="001067EB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B76B9">
        <w:rPr>
          <w:rFonts w:ascii="Times New Roman" w:hAnsi="Times New Roman"/>
          <w:b/>
          <w:sz w:val="28"/>
          <w:szCs w:val="28"/>
        </w:rPr>
        <w:t>ГАТЧИНСКО</w:t>
      </w:r>
      <w:r>
        <w:rPr>
          <w:rFonts w:ascii="Times New Roman" w:hAnsi="Times New Roman"/>
          <w:b/>
          <w:sz w:val="28"/>
          <w:szCs w:val="28"/>
        </w:rPr>
        <w:t>ГО МУНИЦИПАЛЬНОГО РАЙОНА ЗА 2019</w:t>
      </w:r>
      <w:r w:rsidRPr="007B76B9">
        <w:rPr>
          <w:rFonts w:ascii="Times New Roman" w:hAnsi="Times New Roman"/>
          <w:b/>
          <w:sz w:val="28"/>
          <w:szCs w:val="28"/>
        </w:rPr>
        <w:t xml:space="preserve"> ГОД</w:t>
      </w:r>
    </w:p>
    <w:p w:rsidR="001067EB" w:rsidRPr="000F1D6C" w:rsidRDefault="001067EB" w:rsidP="001067EB">
      <w:pPr>
        <w:pStyle w:val="20"/>
        <w:jc w:val="center"/>
        <w:rPr>
          <w:sz w:val="36"/>
          <w:szCs w:val="36"/>
        </w:rPr>
      </w:pPr>
    </w:p>
    <w:p w:rsidR="001067EB" w:rsidRDefault="001067EB" w:rsidP="001067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67EB" w:rsidRPr="009C28DB" w:rsidRDefault="001067EB" w:rsidP="001067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28DB">
        <w:rPr>
          <w:rFonts w:ascii="Times New Roman" w:hAnsi="Times New Roman"/>
          <w:b/>
          <w:sz w:val="28"/>
          <w:szCs w:val="28"/>
        </w:rPr>
        <w:t>Уважаемые коллеги!</w:t>
      </w:r>
    </w:p>
    <w:p w:rsidR="001067EB" w:rsidRPr="009C28DB" w:rsidRDefault="001067EB" w:rsidP="001067E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067EB" w:rsidRPr="009C28DB" w:rsidRDefault="001067EB" w:rsidP="00106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>Настоящий доклад подготовлен в соответствии с Положением об Общественной палате Гатчинского муниципального района, утвержденным решением совета депутатов № 42 от 27 февраля 2015 года</w:t>
      </w:r>
      <w:r w:rsidR="0076117A">
        <w:rPr>
          <w:rFonts w:ascii="Times New Roman" w:hAnsi="Times New Roman"/>
          <w:sz w:val="28"/>
          <w:szCs w:val="28"/>
        </w:rPr>
        <w:t>,</w:t>
      </w:r>
      <w:r w:rsidRPr="009C28DB">
        <w:rPr>
          <w:rFonts w:ascii="Times New Roman" w:hAnsi="Times New Roman"/>
          <w:sz w:val="28"/>
          <w:szCs w:val="28"/>
        </w:rPr>
        <w:t xml:space="preserve"> и обобщает итоги деятельности палаты за 2019 год.</w:t>
      </w:r>
    </w:p>
    <w:p w:rsidR="001067EB" w:rsidRDefault="001067EB" w:rsidP="001067E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 xml:space="preserve">Стоит отметить, </w:t>
      </w:r>
      <w:r w:rsidR="0076117A">
        <w:rPr>
          <w:rFonts w:ascii="Times New Roman" w:hAnsi="Times New Roman"/>
          <w:sz w:val="28"/>
          <w:szCs w:val="28"/>
        </w:rPr>
        <w:t xml:space="preserve">что </w:t>
      </w:r>
      <w:r w:rsidRPr="009C28DB">
        <w:rPr>
          <w:rFonts w:ascii="Times New Roman" w:hAnsi="Times New Roman"/>
          <w:sz w:val="28"/>
          <w:szCs w:val="28"/>
        </w:rPr>
        <w:t>2019 год стал первым</w:t>
      </w:r>
      <w:r>
        <w:rPr>
          <w:rFonts w:ascii="Times New Roman" w:hAnsi="Times New Roman"/>
          <w:sz w:val="28"/>
          <w:szCs w:val="28"/>
        </w:rPr>
        <w:t>,</w:t>
      </w:r>
      <w:r w:rsidRPr="009C28DB">
        <w:rPr>
          <w:rFonts w:ascii="Times New Roman" w:hAnsi="Times New Roman"/>
          <w:sz w:val="28"/>
          <w:szCs w:val="28"/>
        </w:rPr>
        <w:t xml:space="preserve"> полным годом деятельности  второго</w:t>
      </w:r>
      <w:r>
        <w:rPr>
          <w:rFonts w:ascii="Times New Roman" w:hAnsi="Times New Roman"/>
          <w:sz w:val="28"/>
          <w:szCs w:val="28"/>
        </w:rPr>
        <w:t xml:space="preserve"> состава Общественной палаты.  </w:t>
      </w:r>
      <w:r w:rsidRPr="009C28DB">
        <w:rPr>
          <w:rFonts w:ascii="Times New Roman" w:hAnsi="Times New Roman"/>
          <w:sz w:val="28"/>
          <w:szCs w:val="28"/>
        </w:rPr>
        <w:t xml:space="preserve">Опираясь на опыт предыдущего состава, палата сумела сохранить главное направление в своей деятельности – обеспечение конструктивного взаимодействия общественности и власти, что является одним из важнейших элементов гражданского общества. </w:t>
      </w:r>
    </w:p>
    <w:p w:rsidR="001067EB" w:rsidRPr="009C28DB" w:rsidRDefault="001067EB" w:rsidP="001067E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>Не являясь ни властной структурой, ни даже юридическим лицом, Общественная палата Гатчинского муниципального района сотрудничает с общественными и иными некоммерческими организациями, взаимодействует с органами власти, региональными и муниципальными учреждениями, обсуждает наиболее значимые проблемы и задачи, стоящие перед исполнительными органами власти и касающиеся жителей района.</w:t>
      </w:r>
    </w:p>
    <w:p w:rsidR="001067EB" w:rsidRPr="009C28DB" w:rsidRDefault="001067EB" w:rsidP="00106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b/>
          <w:sz w:val="28"/>
          <w:szCs w:val="28"/>
        </w:rPr>
        <w:t xml:space="preserve"> </w:t>
      </w:r>
      <w:r w:rsidRPr="009C28DB">
        <w:rPr>
          <w:rFonts w:ascii="Times New Roman" w:hAnsi="Times New Roman"/>
          <w:sz w:val="28"/>
          <w:szCs w:val="28"/>
        </w:rPr>
        <w:t xml:space="preserve">В прошедшем 2019 году Общественная палата провела более </w:t>
      </w:r>
      <w:r>
        <w:rPr>
          <w:rFonts w:ascii="Times New Roman" w:hAnsi="Times New Roman"/>
          <w:sz w:val="28"/>
          <w:szCs w:val="28"/>
        </w:rPr>
        <w:t>30</w:t>
      </w:r>
      <w:r w:rsidRPr="009C28DB">
        <w:rPr>
          <w:rFonts w:ascii="Times New Roman" w:hAnsi="Times New Roman"/>
          <w:sz w:val="28"/>
          <w:szCs w:val="28"/>
        </w:rPr>
        <w:t xml:space="preserve"> меро</w:t>
      </w:r>
      <w:r>
        <w:rPr>
          <w:rFonts w:ascii="Times New Roman" w:hAnsi="Times New Roman"/>
          <w:sz w:val="28"/>
          <w:szCs w:val="28"/>
        </w:rPr>
        <w:t xml:space="preserve">приятий: это заседания палаты, </w:t>
      </w:r>
      <w:r w:rsidRPr="009C28DB">
        <w:rPr>
          <w:rFonts w:ascii="Times New Roman" w:hAnsi="Times New Roman"/>
          <w:sz w:val="28"/>
          <w:szCs w:val="28"/>
        </w:rPr>
        <w:t xml:space="preserve">совета, комиссий и рабочих групп, «круглые столы», слушания. </w:t>
      </w:r>
      <w:r w:rsidR="0076117A">
        <w:rPr>
          <w:rFonts w:ascii="Times New Roman" w:hAnsi="Times New Roman"/>
          <w:sz w:val="28"/>
          <w:szCs w:val="28"/>
        </w:rPr>
        <w:t>Проведено 5 заседаний О</w:t>
      </w:r>
      <w:r w:rsidR="003B345F">
        <w:rPr>
          <w:rFonts w:ascii="Times New Roman" w:hAnsi="Times New Roman"/>
          <w:sz w:val="28"/>
          <w:szCs w:val="28"/>
        </w:rPr>
        <w:t>бщественной палаты, в том числе одно выездное</w:t>
      </w:r>
      <w:r w:rsidR="0076117A">
        <w:rPr>
          <w:rFonts w:ascii="Times New Roman" w:hAnsi="Times New Roman"/>
          <w:sz w:val="28"/>
          <w:szCs w:val="28"/>
        </w:rPr>
        <w:t>, на которых</w:t>
      </w:r>
      <w:r w:rsidRPr="009C28DB">
        <w:rPr>
          <w:rFonts w:ascii="Times New Roman" w:hAnsi="Times New Roman"/>
          <w:sz w:val="28"/>
          <w:szCs w:val="28"/>
        </w:rPr>
        <w:t xml:space="preserve"> рассмотрен широкий круг </w:t>
      </w:r>
      <w:r w:rsidR="0076117A">
        <w:rPr>
          <w:rFonts w:ascii="Times New Roman" w:hAnsi="Times New Roman"/>
          <w:sz w:val="28"/>
          <w:szCs w:val="28"/>
        </w:rPr>
        <w:t xml:space="preserve">злободневных </w:t>
      </w:r>
      <w:r w:rsidRPr="009C28DB">
        <w:rPr>
          <w:rFonts w:ascii="Times New Roman" w:hAnsi="Times New Roman"/>
          <w:sz w:val="28"/>
          <w:szCs w:val="28"/>
        </w:rPr>
        <w:t>вопросов и приняты соответствующие рекомендации и обращения в адрес законодательной и исполнительной власти различного уровня, а также в адрес общественных организаций.</w:t>
      </w:r>
    </w:p>
    <w:p w:rsidR="001067EB" w:rsidRPr="009C28DB" w:rsidRDefault="001067EB" w:rsidP="00106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067EB" w:rsidRPr="009C28DB" w:rsidRDefault="0076117A" w:rsidP="00106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</w:t>
      </w:r>
      <w:r w:rsidR="001067EB" w:rsidRPr="009C28DB">
        <w:rPr>
          <w:rFonts w:ascii="Times New Roman" w:hAnsi="Times New Roman"/>
          <w:sz w:val="28"/>
          <w:szCs w:val="28"/>
        </w:rPr>
        <w:t xml:space="preserve">становлюсь на некоторых </w:t>
      </w:r>
      <w:r>
        <w:rPr>
          <w:rFonts w:ascii="Times New Roman" w:hAnsi="Times New Roman"/>
          <w:sz w:val="28"/>
          <w:szCs w:val="28"/>
        </w:rPr>
        <w:t>направлениях нашей работы</w:t>
      </w:r>
      <w:r w:rsidR="001067EB" w:rsidRPr="009C28DB">
        <w:rPr>
          <w:rFonts w:ascii="Times New Roman" w:hAnsi="Times New Roman"/>
          <w:sz w:val="28"/>
          <w:szCs w:val="28"/>
        </w:rPr>
        <w:t>.</w:t>
      </w:r>
    </w:p>
    <w:p w:rsidR="001067EB" w:rsidRPr="009C28DB" w:rsidRDefault="001067EB" w:rsidP="001067E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067EB" w:rsidRPr="009C28DB" w:rsidRDefault="0076117A" w:rsidP="001067E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</w:t>
      </w:r>
      <w:r w:rsidR="001067EB" w:rsidRPr="009C28DB">
        <w:rPr>
          <w:rFonts w:ascii="Times New Roman" w:hAnsi="Times New Roman"/>
          <w:sz w:val="28"/>
          <w:szCs w:val="28"/>
        </w:rPr>
        <w:t xml:space="preserve"> 2019 году для Общественной палаты одним из приоритетных направлений деятельности стала подготовка общественных наблюдателей для работы на избирательных участках во время голосования на выборах депутатов местных советов. </w:t>
      </w:r>
    </w:p>
    <w:p w:rsidR="001067EB" w:rsidRPr="009C28DB" w:rsidRDefault="0076117A" w:rsidP="00106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Большое внимание было уделено </w:t>
      </w:r>
      <w:r w:rsidR="001067EB" w:rsidRPr="009C28DB">
        <w:rPr>
          <w:rFonts w:ascii="Times New Roman" w:hAnsi="Times New Roman"/>
          <w:sz w:val="28"/>
          <w:szCs w:val="28"/>
        </w:rPr>
        <w:t xml:space="preserve">подбору и обучению наблюдателей от Общественной палаты Гатчинского муниципального района. В результате, в день голосования в сентябре на каждом избирательном участке района присутствовали общественные наблюдатели, обеспечивая независимый, не политизированный взгляд на ход избирательной кампании. </w:t>
      </w:r>
    </w:p>
    <w:p w:rsidR="001067EB" w:rsidRPr="009C28DB" w:rsidRDefault="001067EB" w:rsidP="00106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67EB" w:rsidRPr="009C28DB" w:rsidRDefault="001067EB" w:rsidP="00106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>Пр</w:t>
      </w:r>
      <w:r w:rsidR="0076117A">
        <w:rPr>
          <w:rFonts w:ascii="Times New Roman" w:hAnsi="Times New Roman"/>
          <w:sz w:val="28"/>
          <w:szCs w:val="28"/>
        </w:rPr>
        <w:t>инятый в марте 2018 года 392-й Ф</w:t>
      </w:r>
      <w:r w:rsidRPr="009C28DB">
        <w:rPr>
          <w:rFonts w:ascii="Times New Roman" w:hAnsi="Times New Roman"/>
          <w:sz w:val="28"/>
          <w:szCs w:val="28"/>
        </w:rPr>
        <w:t>едеральный закон, наделил общественные палаты еще одним новым полномочием</w:t>
      </w:r>
      <w:r w:rsidR="0076117A">
        <w:rPr>
          <w:rFonts w:ascii="Times New Roman" w:hAnsi="Times New Roman"/>
          <w:sz w:val="28"/>
          <w:szCs w:val="28"/>
        </w:rPr>
        <w:t xml:space="preserve">: </w:t>
      </w:r>
      <w:r w:rsidRPr="009C28DB">
        <w:rPr>
          <w:rFonts w:ascii="Times New Roman" w:hAnsi="Times New Roman"/>
          <w:sz w:val="28"/>
          <w:szCs w:val="28"/>
        </w:rPr>
        <w:t>создани</w:t>
      </w:r>
      <w:r w:rsidR="0076117A">
        <w:rPr>
          <w:rFonts w:ascii="Times New Roman" w:hAnsi="Times New Roman"/>
          <w:sz w:val="28"/>
          <w:szCs w:val="28"/>
        </w:rPr>
        <w:t>е</w:t>
      </w:r>
      <w:r w:rsidRPr="009C28DB">
        <w:rPr>
          <w:rFonts w:ascii="Times New Roman" w:hAnsi="Times New Roman"/>
          <w:sz w:val="28"/>
          <w:szCs w:val="28"/>
        </w:rPr>
        <w:t xml:space="preserve"> общественных советов по независимой оценке качества оказания услуг в </w:t>
      </w:r>
      <w:r w:rsidRPr="009C28DB">
        <w:rPr>
          <w:rFonts w:ascii="Times New Roman" w:hAnsi="Times New Roman"/>
          <w:sz w:val="28"/>
          <w:szCs w:val="28"/>
        </w:rPr>
        <w:lastRenderedPageBreak/>
        <w:t>социальной сфере, образовании, культуре и здравоохранении. В соответствии с указанным законом в 2019 году Обществен</w:t>
      </w:r>
      <w:r>
        <w:rPr>
          <w:rFonts w:ascii="Times New Roman" w:hAnsi="Times New Roman"/>
          <w:sz w:val="28"/>
          <w:szCs w:val="28"/>
        </w:rPr>
        <w:t>ной палатой Гатчинского муниципального района сформирован О</w:t>
      </w:r>
      <w:r w:rsidRPr="009C28DB">
        <w:rPr>
          <w:rFonts w:ascii="Times New Roman" w:hAnsi="Times New Roman"/>
          <w:sz w:val="28"/>
          <w:szCs w:val="28"/>
        </w:rPr>
        <w:t xml:space="preserve">бщественный совет при Комитете образования Гатчинского муниципального района. </w:t>
      </w:r>
    </w:p>
    <w:p w:rsidR="001067EB" w:rsidRPr="009C28DB" w:rsidRDefault="001067EB" w:rsidP="00106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 xml:space="preserve"> </w:t>
      </w:r>
    </w:p>
    <w:p w:rsidR="001067EB" w:rsidRPr="009C28DB" w:rsidRDefault="001067EB" w:rsidP="001067E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 xml:space="preserve">Одним из направлений деятельности общественных палат является осуществление общественного контроля. </w:t>
      </w:r>
    </w:p>
    <w:p w:rsidR="001067EB" w:rsidRPr="009C28DB" w:rsidRDefault="001067EB" w:rsidP="001067EB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>В рамках реализации этой задачи Общественной палатой проведена большая работа по обследованию учреждений различной правовой формы, оказывающих услуги в сфере дошкольного образования на территории города Гатчины. Цель: выяснить</w:t>
      </w:r>
      <w:r w:rsidR="0076117A">
        <w:rPr>
          <w:rFonts w:ascii="Times New Roman" w:hAnsi="Times New Roman"/>
          <w:sz w:val="28"/>
          <w:szCs w:val="28"/>
        </w:rPr>
        <w:t>,</w:t>
      </w:r>
      <w:r w:rsidRPr="009C28DB">
        <w:rPr>
          <w:rFonts w:ascii="Times New Roman" w:hAnsi="Times New Roman"/>
          <w:sz w:val="28"/>
          <w:szCs w:val="28"/>
        </w:rPr>
        <w:t xml:space="preserve"> соответствуют ли существующие НКО и ИП требованиям для получения субсидии на разме</w:t>
      </w:r>
      <w:r w:rsidR="0076117A">
        <w:rPr>
          <w:rFonts w:ascii="Times New Roman" w:hAnsi="Times New Roman"/>
          <w:sz w:val="28"/>
          <w:szCs w:val="28"/>
        </w:rPr>
        <w:t>щение государственного заказа, а также,</w:t>
      </w:r>
      <w:r w:rsidRPr="009C28DB">
        <w:rPr>
          <w:rFonts w:ascii="Times New Roman" w:hAnsi="Times New Roman"/>
          <w:sz w:val="28"/>
          <w:szCs w:val="28"/>
        </w:rPr>
        <w:t xml:space="preserve"> можно ли, с помощью этих организаций снизить очередь детей в возрасте от 1 года до 3-х лет в детские сады</w:t>
      </w:r>
      <w:r w:rsidR="0076117A">
        <w:rPr>
          <w:rFonts w:ascii="Times New Roman" w:hAnsi="Times New Roman"/>
          <w:sz w:val="28"/>
          <w:szCs w:val="28"/>
        </w:rPr>
        <w:t xml:space="preserve"> города Гатчины</w:t>
      </w:r>
      <w:r w:rsidRPr="009C28DB">
        <w:rPr>
          <w:rFonts w:ascii="Times New Roman" w:hAnsi="Times New Roman"/>
          <w:sz w:val="28"/>
          <w:szCs w:val="28"/>
        </w:rPr>
        <w:t>.</w:t>
      </w:r>
    </w:p>
    <w:p w:rsidR="001067EB" w:rsidRDefault="001067EB" w:rsidP="001067EB">
      <w:pPr>
        <w:pStyle w:val="a4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 xml:space="preserve">Для решения </w:t>
      </w:r>
      <w:r w:rsidR="0076117A">
        <w:rPr>
          <w:rFonts w:ascii="Times New Roman" w:hAnsi="Times New Roman"/>
          <w:sz w:val="28"/>
          <w:szCs w:val="28"/>
        </w:rPr>
        <w:t xml:space="preserve">данного </w:t>
      </w:r>
      <w:r w:rsidRPr="009C28DB">
        <w:rPr>
          <w:rFonts w:ascii="Times New Roman" w:hAnsi="Times New Roman"/>
          <w:sz w:val="28"/>
          <w:szCs w:val="28"/>
        </w:rPr>
        <w:t>вопроса была создана рабочая</w:t>
      </w:r>
      <w:r w:rsidR="0076117A">
        <w:rPr>
          <w:rFonts w:ascii="Times New Roman" w:hAnsi="Times New Roman"/>
          <w:sz w:val="28"/>
          <w:szCs w:val="28"/>
        </w:rPr>
        <w:t xml:space="preserve"> группа, в которую вошли члены О</w:t>
      </w:r>
      <w:r w:rsidRPr="009C28DB">
        <w:rPr>
          <w:rFonts w:ascii="Times New Roman" w:hAnsi="Times New Roman"/>
          <w:sz w:val="28"/>
          <w:szCs w:val="28"/>
        </w:rPr>
        <w:t>бщественной палаты из р</w:t>
      </w:r>
      <w:r>
        <w:rPr>
          <w:rFonts w:ascii="Times New Roman" w:hAnsi="Times New Roman"/>
          <w:sz w:val="28"/>
          <w:szCs w:val="28"/>
        </w:rPr>
        <w:t>азных комиссий и представители К</w:t>
      </w:r>
      <w:r w:rsidRPr="009C28DB">
        <w:rPr>
          <w:rFonts w:ascii="Times New Roman" w:hAnsi="Times New Roman"/>
          <w:sz w:val="28"/>
          <w:szCs w:val="28"/>
        </w:rPr>
        <w:t>омитета образования.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C28DB">
        <w:rPr>
          <w:rFonts w:ascii="Times New Roman" w:hAnsi="Times New Roman"/>
          <w:sz w:val="28"/>
          <w:szCs w:val="28"/>
        </w:rPr>
        <w:t xml:space="preserve">В ходе обследования были выявлены проблемы </w:t>
      </w:r>
      <w:r w:rsidR="0076117A">
        <w:rPr>
          <w:rFonts w:ascii="Times New Roman" w:hAnsi="Times New Roman"/>
          <w:sz w:val="28"/>
          <w:szCs w:val="28"/>
        </w:rPr>
        <w:t xml:space="preserve">некоторых </w:t>
      </w:r>
      <w:r w:rsidRPr="009C28DB">
        <w:rPr>
          <w:rFonts w:ascii="Times New Roman" w:hAnsi="Times New Roman"/>
          <w:sz w:val="28"/>
          <w:szCs w:val="28"/>
        </w:rPr>
        <w:t xml:space="preserve">некоммерческих учреждений, не позволяющие им </w:t>
      </w:r>
      <w:r w:rsidR="00016A1E">
        <w:rPr>
          <w:rFonts w:ascii="Times New Roman" w:hAnsi="Times New Roman"/>
          <w:sz w:val="28"/>
          <w:szCs w:val="28"/>
        </w:rPr>
        <w:t xml:space="preserve">осуществлять </w:t>
      </w:r>
      <w:r w:rsidRPr="009C28DB">
        <w:rPr>
          <w:rFonts w:ascii="Times New Roman" w:hAnsi="Times New Roman"/>
          <w:sz w:val="28"/>
          <w:szCs w:val="28"/>
        </w:rPr>
        <w:t>деятельность по предоставлению социальной услуги надле</w:t>
      </w:r>
      <w:r>
        <w:rPr>
          <w:rFonts w:ascii="Times New Roman" w:hAnsi="Times New Roman"/>
          <w:sz w:val="28"/>
          <w:szCs w:val="28"/>
        </w:rPr>
        <w:t xml:space="preserve">жащего качества, несмотря на </w:t>
      </w:r>
      <w:r w:rsidRPr="009C28DB">
        <w:rPr>
          <w:rFonts w:ascii="Times New Roman" w:hAnsi="Times New Roman"/>
          <w:sz w:val="28"/>
          <w:szCs w:val="28"/>
        </w:rPr>
        <w:t>востребованность</w:t>
      </w:r>
      <w:r>
        <w:rPr>
          <w:rFonts w:ascii="Times New Roman" w:hAnsi="Times New Roman"/>
          <w:sz w:val="28"/>
          <w:szCs w:val="28"/>
        </w:rPr>
        <w:t xml:space="preserve"> такой услуги</w:t>
      </w:r>
      <w:r w:rsidRPr="009C28DB">
        <w:rPr>
          <w:rFonts w:ascii="Times New Roman" w:hAnsi="Times New Roman"/>
          <w:sz w:val="28"/>
          <w:szCs w:val="28"/>
        </w:rPr>
        <w:t xml:space="preserve">. Вся полученная в ходе работы информация была доведена до руководства администрации Гатчинского муниципального района. </w:t>
      </w:r>
    </w:p>
    <w:p w:rsidR="001067EB" w:rsidRPr="009C28DB" w:rsidRDefault="001067EB" w:rsidP="001067EB">
      <w:pPr>
        <w:pStyle w:val="a4"/>
        <w:spacing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>В результате, благодаря общественной инициативе и активности Комитета образования района, один из частных детских садов смог войти в реестр поставщиков усл</w:t>
      </w:r>
      <w:r w:rsidR="00016A1E">
        <w:rPr>
          <w:rFonts w:ascii="Times New Roman" w:hAnsi="Times New Roman"/>
          <w:sz w:val="28"/>
          <w:szCs w:val="28"/>
        </w:rPr>
        <w:t xml:space="preserve">уг, получает областную субсидию. Сейчас он </w:t>
      </w:r>
      <w:r w:rsidRPr="009C28DB">
        <w:rPr>
          <w:rFonts w:ascii="Times New Roman" w:hAnsi="Times New Roman"/>
          <w:sz w:val="28"/>
          <w:szCs w:val="28"/>
        </w:rPr>
        <w:t xml:space="preserve"> полностью укомплектован и готовит к открытию в 2020 году еще одну группу.</w:t>
      </w:r>
    </w:p>
    <w:p w:rsidR="001067EB" w:rsidRPr="009C28DB" w:rsidRDefault="001067EB" w:rsidP="00106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 xml:space="preserve">В 2019 году в плане работы палаты в качестве приоритетного направления было </w:t>
      </w:r>
      <w:r w:rsidR="00016A1E">
        <w:rPr>
          <w:rFonts w:ascii="Times New Roman" w:hAnsi="Times New Roman"/>
          <w:sz w:val="28"/>
          <w:szCs w:val="28"/>
        </w:rPr>
        <w:t>выбрано</w:t>
      </w:r>
      <w:r w:rsidRPr="009C28DB">
        <w:rPr>
          <w:rFonts w:ascii="Times New Roman" w:hAnsi="Times New Roman"/>
          <w:sz w:val="28"/>
          <w:szCs w:val="28"/>
        </w:rPr>
        <w:t xml:space="preserve"> взаимодействие с общественными организациями и общественными советами по вопросу экологической безопасности в Гатчинском муниципальном районе.  </w:t>
      </w:r>
    </w:p>
    <w:p w:rsidR="001067EB" w:rsidRDefault="001067EB" w:rsidP="00106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>В связи с этим в апреле было проведено заседание по теме «О состоянии экологической безопасности в Гатчинском муниципальном районе». Рекомендации, принятые по результатам этого заседания в адрес органов местного самоуправления, общественных организаций имеют долгосрочный характер и н</w:t>
      </w:r>
      <w:r>
        <w:rPr>
          <w:rFonts w:ascii="Times New Roman" w:hAnsi="Times New Roman"/>
          <w:sz w:val="28"/>
          <w:szCs w:val="28"/>
        </w:rPr>
        <w:t>аходятся под контролем палаты.</w:t>
      </w:r>
      <w:r w:rsidRPr="009C28DB">
        <w:rPr>
          <w:rFonts w:ascii="Times New Roman" w:hAnsi="Times New Roman"/>
          <w:sz w:val="28"/>
          <w:szCs w:val="28"/>
        </w:rPr>
        <w:t xml:space="preserve"> К этой теме мы планируем вернуться в 2020 году при подготовке вопроса по реализации национальных проектов на территории Гатчинского района.      </w:t>
      </w:r>
    </w:p>
    <w:p w:rsidR="001067EB" w:rsidRDefault="001067EB" w:rsidP="00106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67EB" w:rsidRPr="009C28DB" w:rsidRDefault="001067EB" w:rsidP="001067EB">
      <w:pPr>
        <w:pStyle w:val="a4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26C1C">
        <w:rPr>
          <w:rFonts w:ascii="Times New Roman" w:hAnsi="Times New Roman"/>
          <w:sz w:val="28"/>
          <w:szCs w:val="28"/>
        </w:rPr>
        <w:t>В 2019 году в Ленинградской области стартовала так называемая «мусорная реформа». Гатчинский район должен был перейти на новую систему обращения с твердыми коммунальными отходами с ноября месяца</w:t>
      </w:r>
      <w:r>
        <w:rPr>
          <w:rFonts w:ascii="Times New Roman" w:hAnsi="Times New Roman"/>
          <w:sz w:val="28"/>
          <w:szCs w:val="28"/>
        </w:rPr>
        <w:t>.</w:t>
      </w:r>
      <w:r w:rsidRPr="00326C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326C1C">
        <w:rPr>
          <w:rFonts w:ascii="Times New Roman" w:hAnsi="Times New Roman"/>
          <w:sz w:val="28"/>
          <w:szCs w:val="28"/>
        </w:rPr>
        <w:t xml:space="preserve"> связи с увеличением стоимости услуги, порядком начисления тарифа и активным обсуждением</w:t>
      </w:r>
      <w:r>
        <w:rPr>
          <w:rFonts w:ascii="Times New Roman" w:hAnsi="Times New Roman"/>
          <w:sz w:val="28"/>
          <w:szCs w:val="28"/>
        </w:rPr>
        <w:t xml:space="preserve"> реформы</w:t>
      </w:r>
      <w:r w:rsidRPr="00326C1C">
        <w:rPr>
          <w:rFonts w:ascii="Times New Roman" w:hAnsi="Times New Roman"/>
          <w:sz w:val="28"/>
          <w:szCs w:val="28"/>
        </w:rPr>
        <w:t xml:space="preserve"> гражданами в </w:t>
      </w:r>
      <w:proofErr w:type="spellStart"/>
      <w:r w:rsidRPr="00326C1C">
        <w:rPr>
          <w:rFonts w:ascii="Times New Roman" w:hAnsi="Times New Roman"/>
          <w:sz w:val="28"/>
          <w:szCs w:val="28"/>
        </w:rPr>
        <w:t>соцсетях</w:t>
      </w:r>
      <w:proofErr w:type="spellEnd"/>
      <w:r w:rsidRPr="00326C1C">
        <w:rPr>
          <w:rFonts w:ascii="Times New Roman" w:hAnsi="Times New Roman"/>
          <w:sz w:val="28"/>
          <w:szCs w:val="28"/>
        </w:rPr>
        <w:t xml:space="preserve">, этот вопрос взят под контроль </w:t>
      </w:r>
      <w:r w:rsidR="00C905C9">
        <w:rPr>
          <w:rFonts w:ascii="Times New Roman" w:hAnsi="Times New Roman"/>
          <w:sz w:val="28"/>
          <w:szCs w:val="28"/>
        </w:rPr>
        <w:t xml:space="preserve">комиссией </w:t>
      </w:r>
      <w:r w:rsidR="00C905C9" w:rsidRPr="00C905C9">
        <w:rPr>
          <w:rFonts w:ascii="Times New Roman" w:hAnsi="Times New Roman"/>
          <w:sz w:val="28"/>
          <w:szCs w:val="28"/>
        </w:rPr>
        <w:t>по экономическому развитию, вопросам жилищно-коммунального хозяйства, строительства, транспорта и благоустройства территорий Общественной палаты</w:t>
      </w:r>
      <w:r w:rsidR="00C905C9">
        <w:rPr>
          <w:rFonts w:ascii="Times New Roman" w:hAnsi="Times New Roman"/>
          <w:sz w:val="28"/>
          <w:szCs w:val="28"/>
        </w:rPr>
        <w:t xml:space="preserve">, </w:t>
      </w:r>
      <w:r w:rsidRPr="00326C1C">
        <w:rPr>
          <w:rFonts w:ascii="Times New Roman" w:hAnsi="Times New Roman"/>
          <w:sz w:val="28"/>
          <w:szCs w:val="28"/>
        </w:rPr>
        <w:t xml:space="preserve">неоднократно заслушивался </w:t>
      </w:r>
      <w:r w:rsidR="00C905C9">
        <w:rPr>
          <w:rFonts w:ascii="Times New Roman" w:hAnsi="Times New Roman"/>
          <w:sz w:val="28"/>
          <w:szCs w:val="28"/>
        </w:rPr>
        <w:t>палатой в отчетном году.</w:t>
      </w:r>
    </w:p>
    <w:p w:rsidR="001067EB" w:rsidRPr="009C28DB" w:rsidRDefault="001067EB" w:rsidP="00106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lastRenderedPageBreak/>
        <w:t xml:space="preserve">В своей деятельности Общественная палата отводит большое место межнациональным вопросам. </w:t>
      </w:r>
    </w:p>
    <w:p w:rsidR="001067EB" w:rsidRPr="009C28DB" w:rsidRDefault="001067EB" w:rsidP="00106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>И это понятно,</w:t>
      </w:r>
      <w:r w:rsidR="00016A1E">
        <w:rPr>
          <w:rFonts w:ascii="Times New Roman" w:hAnsi="Times New Roman"/>
          <w:sz w:val="28"/>
          <w:szCs w:val="28"/>
        </w:rPr>
        <w:t xml:space="preserve"> так как</w:t>
      </w:r>
      <w:r>
        <w:rPr>
          <w:rFonts w:ascii="Times New Roman" w:hAnsi="Times New Roman"/>
          <w:sz w:val="28"/>
          <w:szCs w:val="28"/>
        </w:rPr>
        <w:t xml:space="preserve"> в состав палаты  входят люди, </w:t>
      </w:r>
      <w:r w:rsidRPr="009C28DB">
        <w:rPr>
          <w:rFonts w:ascii="Times New Roman" w:hAnsi="Times New Roman"/>
          <w:sz w:val="28"/>
          <w:szCs w:val="28"/>
        </w:rPr>
        <w:t xml:space="preserve">в силу своей </w:t>
      </w:r>
      <w:r>
        <w:rPr>
          <w:rFonts w:ascii="Times New Roman" w:hAnsi="Times New Roman"/>
          <w:sz w:val="28"/>
          <w:szCs w:val="28"/>
        </w:rPr>
        <w:t xml:space="preserve">основной </w:t>
      </w:r>
      <w:r w:rsidRPr="009C28DB">
        <w:rPr>
          <w:rFonts w:ascii="Times New Roman" w:hAnsi="Times New Roman"/>
          <w:sz w:val="28"/>
          <w:szCs w:val="28"/>
        </w:rPr>
        <w:t>работы, принимающие активное и непосредственное участие в этом направлении деятельности. Члены Общественной палаты и Совета по межнациональным и межконфессиональным отношениям при главе администрации Гатчинского муниципального района сотрудничают в рамках реализации Программы «Устойчивое общественное развитие в Гатчинском муниципальном районе в 2018-2020 гг.», которая направлена на поддержку этнокультурной самобытности коренных народов, проживающих на территории Гатчинского муниципального района. Ежегодно увеличивается количество социально ориентированных НКО по данной направленности, увеличивается количеств</w:t>
      </w:r>
      <w:r w:rsidR="00016A1E">
        <w:rPr>
          <w:rFonts w:ascii="Times New Roman" w:hAnsi="Times New Roman"/>
          <w:sz w:val="28"/>
          <w:szCs w:val="28"/>
        </w:rPr>
        <w:t>о проектов на получение грантов</w:t>
      </w:r>
      <w:r w:rsidRPr="009C28DB">
        <w:rPr>
          <w:rFonts w:ascii="Times New Roman" w:hAnsi="Times New Roman"/>
          <w:sz w:val="28"/>
          <w:szCs w:val="28"/>
        </w:rPr>
        <w:t xml:space="preserve"> как на уровне района, так и на областном и федеральном уровне.</w:t>
      </w:r>
    </w:p>
    <w:p w:rsidR="001067EB" w:rsidRPr="009C28DB" w:rsidRDefault="001067EB" w:rsidP="00106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67EB" w:rsidRPr="009C28DB" w:rsidRDefault="001067EB" w:rsidP="001067E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>Большое внимание Общественная палата уделяла нравственному и духовному вос</w:t>
      </w:r>
      <w:r w:rsidR="00016A1E">
        <w:rPr>
          <w:rFonts w:ascii="Times New Roman" w:hAnsi="Times New Roman"/>
          <w:sz w:val="28"/>
          <w:szCs w:val="28"/>
        </w:rPr>
        <w:t>питанию подрастающего поколения</w:t>
      </w:r>
      <w:r w:rsidRPr="009C28DB">
        <w:rPr>
          <w:rFonts w:ascii="Times New Roman" w:hAnsi="Times New Roman"/>
          <w:sz w:val="28"/>
          <w:szCs w:val="28"/>
        </w:rPr>
        <w:t xml:space="preserve"> как одной из составляющих гражданского общества. </w:t>
      </w:r>
      <w:r w:rsidRPr="009C28DB">
        <w:rPr>
          <w:rFonts w:ascii="Times New Roman" w:hAnsi="Times New Roman"/>
          <w:color w:val="000000"/>
          <w:sz w:val="28"/>
          <w:szCs w:val="28"/>
        </w:rPr>
        <w:t>Для формирования у молодого поколения гражданско-патриотических качеств, осознания непреходящ</w:t>
      </w:r>
      <w:r w:rsidR="00C905C9">
        <w:rPr>
          <w:rFonts w:ascii="Times New Roman" w:hAnsi="Times New Roman"/>
          <w:color w:val="000000"/>
          <w:sz w:val="28"/>
          <w:szCs w:val="28"/>
        </w:rPr>
        <w:t xml:space="preserve">ей значимости истории Отечества и расширения кругозора </w:t>
      </w:r>
      <w:r w:rsidR="00016A1E">
        <w:rPr>
          <w:rFonts w:ascii="Times New Roman" w:hAnsi="Times New Roman"/>
          <w:sz w:val="28"/>
          <w:szCs w:val="28"/>
        </w:rPr>
        <w:t>не</w:t>
      </w:r>
      <w:r w:rsidRPr="009C28DB">
        <w:rPr>
          <w:rFonts w:ascii="Times New Roman" w:hAnsi="Times New Roman"/>
          <w:sz w:val="28"/>
          <w:szCs w:val="28"/>
        </w:rPr>
        <w:t>маловажная роль отводится школьным музеям.</w:t>
      </w:r>
      <w:r w:rsidRPr="009C28D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91732" w:rsidRPr="00691732">
        <w:rPr>
          <w:rFonts w:ascii="Times New Roman" w:hAnsi="Times New Roman" w:cs="Times New Roman"/>
          <w:sz w:val="28"/>
          <w:szCs w:val="28"/>
        </w:rPr>
        <w:t xml:space="preserve">Деятельность школьных музеев рассматривалась в феврале 2019 года на заседании </w:t>
      </w:r>
      <w:r w:rsidR="00691732">
        <w:rPr>
          <w:rFonts w:ascii="Times New Roman" w:hAnsi="Times New Roman" w:cs="Times New Roman"/>
          <w:sz w:val="28"/>
          <w:szCs w:val="28"/>
        </w:rPr>
        <w:t>«</w:t>
      </w:r>
      <w:r w:rsidR="00691732" w:rsidRPr="00691732">
        <w:rPr>
          <w:rFonts w:ascii="Times New Roman" w:hAnsi="Times New Roman" w:cs="Times New Roman"/>
          <w:sz w:val="28"/>
          <w:szCs w:val="28"/>
        </w:rPr>
        <w:t>круглого стола</w:t>
      </w:r>
      <w:r w:rsidR="00691732">
        <w:rPr>
          <w:rFonts w:ascii="Times New Roman" w:hAnsi="Times New Roman" w:cs="Times New Roman"/>
          <w:sz w:val="28"/>
          <w:szCs w:val="28"/>
        </w:rPr>
        <w:t xml:space="preserve">», </w:t>
      </w:r>
      <w:r w:rsidR="00691732" w:rsidRPr="009C28DB">
        <w:rPr>
          <w:rFonts w:ascii="Times New Roman" w:hAnsi="Times New Roman"/>
          <w:sz w:val="28"/>
          <w:szCs w:val="28"/>
        </w:rPr>
        <w:t>в котором приняли участие около 30 человек, в том числе депутаты Законодательного собрания и члены Общественной палаты Ленинградской области,  депутаты районного совета, представители администрации ГМР, руководители школьных музеев.</w:t>
      </w:r>
      <w:r w:rsidRPr="009C28DB"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1067EB" w:rsidRPr="009C28DB" w:rsidRDefault="00691732" w:rsidP="001067EB">
      <w:pPr>
        <w:pStyle w:val="a4"/>
        <w:spacing w:after="0" w:line="240" w:lineRule="auto"/>
        <w:ind w:left="0" w:firstLine="69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Для подготовки вопроса р</w:t>
      </w:r>
      <w:r w:rsidR="001067EB" w:rsidRPr="009C28DB">
        <w:rPr>
          <w:rFonts w:ascii="Times New Roman" w:hAnsi="Times New Roman"/>
          <w:sz w:val="28"/>
          <w:szCs w:val="28"/>
        </w:rPr>
        <w:t>ешением Совета Общественной палаты было сформировано несколько рабочих групп, которые провели большую подготовительную работу</w:t>
      </w:r>
      <w:r w:rsidR="00016A1E">
        <w:rPr>
          <w:rFonts w:ascii="Times New Roman" w:hAnsi="Times New Roman"/>
          <w:sz w:val="28"/>
          <w:szCs w:val="28"/>
        </w:rPr>
        <w:t>,</w:t>
      </w:r>
      <w:r w:rsidR="001067EB" w:rsidRPr="009C28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посетили и ознакомились с деятельностью школьных музеев на территориях города Коммунар, Сиверского, </w:t>
      </w:r>
      <w:proofErr w:type="spellStart"/>
      <w:r w:rsidR="001067EB" w:rsidRPr="009C28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Таицкого</w:t>
      </w:r>
      <w:proofErr w:type="spellEnd"/>
      <w:r w:rsidR="001067EB" w:rsidRPr="009C28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городских поселений, Кобринского, </w:t>
      </w:r>
      <w:proofErr w:type="spellStart"/>
      <w:r w:rsidR="001067EB" w:rsidRPr="009C28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Веревского</w:t>
      </w:r>
      <w:proofErr w:type="spellEnd"/>
      <w:r w:rsidR="001067EB" w:rsidRPr="009C28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1067EB" w:rsidRPr="009C28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удостьского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сельских поселений</w:t>
      </w:r>
      <w:r w:rsidR="00016A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1067EB" w:rsidRDefault="001067EB" w:rsidP="001067EB">
      <w:pPr>
        <w:pStyle w:val="a4"/>
        <w:spacing w:after="0" w:line="240" w:lineRule="auto"/>
        <w:ind w:left="0" w:firstLine="696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Вопрос «О</w:t>
      </w:r>
      <w:r w:rsidRPr="009C28DB">
        <w:rPr>
          <w:rFonts w:ascii="Times New Roman" w:hAnsi="Times New Roman"/>
          <w:sz w:val="28"/>
          <w:szCs w:val="28"/>
        </w:rPr>
        <w:t xml:space="preserve"> роли школьных музеев в деле нравственно - патриотического воспитания подрастающего поколения на территории Гатчинского муниципального района» имел большую актуальность и привлек  внимание широкого круга лиц. Об этом свидетельствует и активизация деятельности школьных музеев</w:t>
      </w:r>
      <w:r w:rsidR="00016A1E">
        <w:rPr>
          <w:rFonts w:ascii="Times New Roman" w:hAnsi="Times New Roman"/>
          <w:sz w:val="28"/>
          <w:szCs w:val="28"/>
        </w:rPr>
        <w:t>,</w:t>
      </w:r>
      <w:r w:rsidRPr="009C28DB">
        <w:rPr>
          <w:rFonts w:ascii="Times New Roman" w:hAnsi="Times New Roman"/>
          <w:sz w:val="28"/>
          <w:szCs w:val="28"/>
        </w:rPr>
        <w:t xml:space="preserve"> и появившееся внимание к их деятельности со стороны органов местного самоуправления и общественности. </w:t>
      </w:r>
    </w:p>
    <w:p w:rsidR="001067EB" w:rsidRPr="009C28DB" w:rsidRDefault="001067EB" w:rsidP="00691732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 xml:space="preserve">Уверены, что разработанные и принятые Общественной палатой </w:t>
      </w:r>
      <w:r w:rsidR="00016A1E">
        <w:rPr>
          <w:rFonts w:ascii="Times New Roman" w:hAnsi="Times New Roman"/>
          <w:sz w:val="28"/>
          <w:szCs w:val="28"/>
        </w:rPr>
        <w:t>по данному вопросу рекомендации</w:t>
      </w:r>
      <w:r w:rsidRPr="009C28DB">
        <w:rPr>
          <w:rFonts w:ascii="Times New Roman" w:hAnsi="Times New Roman"/>
          <w:sz w:val="28"/>
          <w:szCs w:val="28"/>
        </w:rPr>
        <w:t xml:space="preserve"> будут способствовать активизации, соверше</w:t>
      </w:r>
      <w:r w:rsidR="00016A1E">
        <w:rPr>
          <w:rFonts w:ascii="Times New Roman" w:hAnsi="Times New Roman"/>
          <w:sz w:val="28"/>
          <w:szCs w:val="28"/>
        </w:rPr>
        <w:t>нствованию и, что самое важное,</w:t>
      </w:r>
      <w:r w:rsidRPr="009C28DB">
        <w:rPr>
          <w:rFonts w:ascii="Times New Roman" w:hAnsi="Times New Roman"/>
          <w:sz w:val="28"/>
          <w:szCs w:val="28"/>
        </w:rPr>
        <w:t xml:space="preserve"> поддержке деятельности школьных музеев, что особенно актуально в преддверии празднования 75-ой годовщины со Дня Победы в Великой Отечественной войне.</w:t>
      </w:r>
    </w:p>
    <w:p w:rsidR="001067EB" w:rsidRPr="009C28DB" w:rsidRDefault="001067EB" w:rsidP="001067EB">
      <w:pPr>
        <w:pStyle w:val="a4"/>
        <w:spacing w:after="0" w:line="240" w:lineRule="auto"/>
        <w:ind w:left="0" w:firstLine="696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 xml:space="preserve"> </w:t>
      </w:r>
    </w:p>
    <w:p w:rsidR="001067EB" w:rsidRPr="009C28DB" w:rsidRDefault="001067EB" w:rsidP="001067EB">
      <w:pPr>
        <w:pStyle w:val="a4"/>
        <w:spacing w:line="240" w:lineRule="auto"/>
        <w:ind w:left="0" w:firstLine="696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 xml:space="preserve">С </w:t>
      </w:r>
      <w:r w:rsidR="00016A1E">
        <w:rPr>
          <w:rFonts w:ascii="Times New Roman" w:hAnsi="Times New Roman"/>
          <w:sz w:val="28"/>
          <w:szCs w:val="28"/>
        </w:rPr>
        <w:t xml:space="preserve">начала деятельности </w:t>
      </w:r>
      <w:r w:rsidRPr="009C28DB">
        <w:rPr>
          <w:rFonts w:ascii="Times New Roman" w:hAnsi="Times New Roman"/>
          <w:sz w:val="28"/>
          <w:szCs w:val="28"/>
        </w:rPr>
        <w:t xml:space="preserve">первого состава на контроле Общественной палаты оставался вопрос о создании зала «Спортивная слава». При проработке этого вопроса выяснилось, что в Гатчине ни в одном из спортивных сооружений нет возможности подобрать соответствующее помещение для </w:t>
      </w:r>
      <w:r w:rsidRPr="009C28DB">
        <w:rPr>
          <w:rFonts w:ascii="Times New Roman" w:hAnsi="Times New Roman"/>
          <w:sz w:val="28"/>
          <w:szCs w:val="28"/>
        </w:rPr>
        <w:lastRenderedPageBreak/>
        <w:t>размещения такого зала. При помощи депутатов Законодательного собрания и спортивной общественности принято решение на данном этапе</w:t>
      </w:r>
      <w:r w:rsidR="00016A1E">
        <w:rPr>
          <w:rFonts w:ascii="Times New Roman" w:hAnsi="Times New Roman"/>
          <w:sz w:val="28"/>
          <w:szCs w:val="28"/>
        </w:rPr>
        <w:t xml:space="preserve"> </w:t>
      </w:r>
      <w:r w:rsidRPr="009C28DB">
        <w:rPr>
          <w:rFonts w:ascii="Times New Roman" w:hAnsi="Times New Roman"/>
          <w:sz w:val="28"/>
          <w:szCs w:val="28"/>
        </w:rPr>
        <w:t xml:space="preserve"> созд</w:t>
      </w:r>
      <w:r w:rsidR="00016A1E">
        <w:rPr>
          <w:rFonts w:ascii="Times New Roman" w:hAnsi="Times New Roman"/>
          <w:sz w:val="28"/>
          <w:szCs w:val="28"/>
        </w:rPr>
        <w:t>ать сайт</w:t>
      </w:r>
      <w:r w:rsidRPr="009C28DB">
        <w:rPr>
          <w:rFonts w:ascii="Times New Roman" w:hAnsi="Times New Roman"/>
          <w:sz w:val="28"/>
          <w:szCs w:val="28"/>
        </w:rPr>
        <w:t xml:space="preserve"> - виртуальн</w:t>
      </w:r>
      <w:r w:rsidR="00016A1E">
        <w:rPr>
          <w:rFonts w:ascii="Times New Roman" w:hAnsi="Times New Roman"/>
          <w:sz w:val="28"/>
          <w:szCs w:val="28"/>
        </w:rPr>
        <w:t>ый зал</w:t>
      </w:r>
      <w:r w:rsidRPr="009C28DB">
        <w:rPr>
          <w:rFonts w:ascii="Times New Roman" w:hAnsi="Times New Roman"/>
          <w:sz w:val="28"/>
          <w:szCs w:val="28"/>
        </w:rPr>
        <w:t xml:space="preserve">  «Спортивная Слава». На текущий момент сайт создан и идет его активное наполнение информацией. Заканчивается написание исторической справки о развитии спорта в Гатчинском районе.  Информацию от спортивной общественности собирает районный комитет по физической культуре, спорту и молодежной политике.</w:t>
      </w:r>
    </w:p>
    <w:p w:rsidR="001067EB" w:rsidRPr="009C28DB" w:rsidRDefault="001067EB" w:rsidP="001067E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>Общественная палата организовала и провела районный этап конкурса «Моё семейное древо - 2019», объявленного</w:t>
      </w:r>
      <w:r w:rsidR="00691732">
        <w:rPr>
          <w:rFonts w:ascii="Times New Roman" w:hAnsi="Times New Roman"/>
          <w:sz w:val="28"/>
          <w:szCs w:val="28"/>
        </w:rPr>
        <w:t xml:space="preserve"> Общественной палатой Ленинградской области </w:t>
      </w:r>
      <w:r w:rsidRPr="009C28DB">
        <w:rPr>
          <w:rFonts w:ascii="Times New Roman" w:hAnsi="Times New Roman"/>
          <w:sz w:val="28"/>
          <w:szCs w:val="28"/>
        </w:rPr>
        <w:t>и посвященного году здорового образа жизни в Ленинградской области. В двух номинациях конкурса: «Моя семья – моя семейная история»; «Мама, папа, я – здоровая семья» приняли участие 14 школьников из школ Гатчины и района. Три работы</w:t>
      </w:r>
      <w:r>
        <w:rPr>
          <w:rFonts w:ascii="Times New Roman" w:hAnsi="Times New Roman"/>
          <w:sz w:val="28"/>
          <w:szCs w:val="28"/>
        </w:rPr>
        <w:t xml:space="preserve"> наших конкурсантов</w:t>
      </w:r>
      <w:r w:rsidRPr="009C28DB">
        <w:rPr>
          <w:rFonts w:ascii="Times New Roman" w:hAnsi="Times New Roman"/>
          <w:sz w:val="28"/>
          <w:szCs w:val="28"/>
        </w:rPr>
        <w:t xml:space="preserve"> были отмечены на областном этапе конкурса. Все участники</w:t>
      </w:r>
      <w:r>
        <w:rPr>
          <w:rFonts w:ascii="Times New Roman" w:hAnsi="Times New Roman"/>
          <w:sz w:val="28"/>
          <w:szCs w:val="28"/>
        </w:rPr>
        <w:t xml:space="preserve"> конкурса</w:t>
      </w:r>
      <w:r w:rsidRPr="009C28DB">
        <w:rPr>
          <w:rFonts w:ascii="Times New Roman" w:hAnsi="Times New Roman"/>
          <w:sz w:val="28"/>
          <w:szCs w:val="28"/>
        </w:rPr>
        <w:t xml:space="preserve"> награждены дипломами, грамотами и памятными подарками.</w:t>
      </w:r>
    </w:p>
    <w:p w:rsidR="001067EB" w:rsidRPr="009C28DB" w:rsidRDefault="001067EB" w:rsidP="001067EB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>Подводя итоги работы О</w:t>
      </w:r>
      <w:r>
        <w:rPr>
          <w:rFonts w:ascii="Times New Roman" w:hAnsi="Times New Roman"/>
          <w:sz w:val="28"/>
          <w:szCs w:val="28"/>
        </w:rPr>
        <w:t xml:space="preserve">бщественной палаты, стоит </w:t>
      </w:r>
      <w:r w:rsidRPr="009C28DB">
        <w:rPr>
          <w:rFonts w:ascii="Times New Roman" w:hAnsi="Times New Roman"/>
          <w:sz w:val="28"/>
          <w:szCs w:val="28"/>
        </w:rPr>
        <w:t xml:space="preserve">отметить, </w:t>
      </w:r>
      <w:proofErr w:type="gramStart"/>
      <w:r w:rsidRPr="009C28DB">
        <w:rPr>
          <w:rFonts w:ascii="Times New Roman" w:hAnsi="Times New Roman"/>
          <w:sz w:val="28"/>
          <w:szCs w:val="28"/>
        </w:rPr>
        <w:t>что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9C28DB">
        <w:rPr>
          <w:rFonts w:ascii="Times New Roman" w:hAnsi="Times New Roman"/>
          <w:sz w:val="28"/>
          <w:szCs w:val="28"/>
        </w:rPr>
        <w:t>как и прежде, мы ст</w:t>
      </w:r>
      <w:r w:rsidR="00691732">
        <w:rPr>
          <w:rFonts w:ascii="Times New Roman" w:hAnsi="Times New Roman"/>
          <w:sz w:val="28"/>
          <w:szCs w:val="28"/>
        </w:rPr>
        <w:t>ремимся</w:t>
      </w:r>
      <w:r w:rsidRPr="009C28DB">
        <w:rPr>
          <w:rFonts w:ascii="Times New Roman" w:hAnsi="Times New Roman"/>
          <w:sz w:val="28"/>
          <w:szCs w:val="28"/>
        </w:rPr>
        <w:t xml:space="preserve"> активно участвовать в работе советов и комиссий при администрации Гатчинского муниципального района, сотрудничать с Общественной палатой Ленинградской области, с Общероссийским Народным Фронтом и другими общественными организациями, информировать граждан о своей деятельности через печатные и электронные средства массовой информации и ТВ.</w:t>
      </w:r>
    </w:p>
    <w:p w:rsidR="00691732" w:rsidRDefault="001067EB" w:rsidP="006B2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>В новом</w:t>
      </w:r>
      <w:r w:rsidR="00691732">
        <w:rPr>
          <w:rFonts w:ascii="Times New Roman" w:hAnsi="Times New Roman"/>
          <w:sz w:val="28"/>
          <w:szCs w:val="28"/>
        </w:rPr>
        <w:t xml:space="preserve"> 2020</w:t>
      </w:r>
      <w:r w:rsidRPr="009C28DB">
        <w:rPr>
          <w:rFonts w:ascii="Times New Roman" w:hAnsi="Times New Roman"/>
          <w:sz w:val="28"/>
          <w:szCs w:val="28"/>
        </w:rPr>
        <w:t xml:space="preserve"> году нам предстоит продолжить актив</w:t>
      </w:r>
      <w:r>
        <w:rPr>
          <w:rFonts w:ascii="Times New Roman" w:hAnsi="Times New Roman"/>
          <w:sz w:val="28"/>
          <w:szCs w:val="28"/>
        </w:rPr>
        <w:t xml:space="preserve">но развивать те сферы, которые </w:t>
      </w:r>
      <w:r w:rsidRPr="009C28DB">
        <w:rPr>
          <w:rFonts w:ascii="Times New Roman" w:hAnsi="Times New Roman"/>
          <w:sz w:val="28"/>
          <w:szCs w:val="28"/>
        </w:rPr>
        <w:t xml:space="preserve">были в центре нашего внимания в прежние годы. В частности, организация общественного наблюдения на предстоящих выборах в единый день голосования. </w:t>
      </w:r>
    </w:p>
    <w:p w:rsidR="001067EB" w:rsidRDefault="001067EB" w:rsidP="006B264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C28DB">
        <w:rPr>
          <w:rFonts w:ascii="Times New Roman" w:hAnsi="Times New Roman"/>
          <w:sz w:val="28"/>
          <w:szCs w:val="28"/>
        </w:rPr>
        <w:t>Мы будем отслеживать исполнение наших рекомендаций, развитие национальных проекто</w:t>
      </w:r>
      <w:r>
        <w:rPr>
          <w:rFonts w:ascii="Times New Roman" w:hAnsi="Times New Roman"/>
          <w:sz w:val="28"/>
          <w:szCs w:val="28"/>
        </w:rPr>
        <w:t xml:space="preserve">в и программ, </w:t>
      </w:r>
      <w:r w:rsidRPr="009C28DB">
        <w:rPr>
          <w:rFonts w:ascii="Times New Roman" w:hAnsi="Times New Roman"/>
          <w:sz w:val="28"/>
          <w:szCs w:val="28"/>
        </w:rPr>
        <w:t>которые проводятся на территории района, и</w:t>
      </w:r>
      <w:r w:rsidR="006B264D">
        <w:rPr>
          <w:rFonts w:ascii="Times New Roman" w:hAnsi="Times New Roman"/>
          <w:sz w:val="28"/>
          <w:szCs w:val="28"/>
        </w:rPr>
        <w:t>,</w:t>
      </w:r>
      <w:r w:rsidRPr="009C28DB">
        <w:rPr>
          <w:rFonts w:ascii="Times New Roman" w:hAnsi="Times New Roman"/>
          <w:sz w:val="28"/>
          <w:szCs w:val="28"/>
        </w:rPr>
        <w:t xml:space="preserve"> конечно, поднимать новые острые темы, волнующие </w:t>
      </w:r>
      <w:r>
        <w:rPr>
          <w:rFonts w:ascii="Times New Roman" w:hAnsi="Times New Roman"/>
          <w:sz w:val="28"/>
          <w:szCs w:val="28"/>
        </w:rPr>
        <w:t>жителей</w:t>
      </w:r>
      <w:r w:rsidR="00072212">
        <w:rPr>
          <w:rFonts w:ascii="Times New Roman" w:hAnsi="Times New Roman"/>
          <w:sz w:val="28"/>
          <w:szCs w:val="28"/>
        </w:rPr>
        <w:t xml:space="preserve"> нашего Гатчинского района.</w:t>
      </w:r>
    </w:p>
    <w:p w:rsidR="00072212" w:rsidRDefault="00072212" w:rsidP="001067E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72212" w:rsidRDefault="00072212" w:rsidP="001067E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этом краткий отчет  о деятельности Общественной палаты закончен. Полный, подробный  отчет  будет размещен на официальном сайте Гатчинского муниципального района на странице Общественной палаты.</w:t>
      </w:r>
    </w:p>
    <w:p w:rsidR="00072212" w:rsidRDefault="00072212" w:rsidP="001067E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Спасибо за внимание. </w:t>
      </w:r>
    </w:p>
    <w:p w:rsidR="00072212" w:rsidRPr="009C28DB" w:rsidRDefault="00072212" w:rsidP="001067EB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067EB" w:rsidRDefault="001067EB" w:rsidP="001067EB">
      <w:pPr>
        <w:pStyle w:val="20"/>
        <w:ind w:firstLine="708"/>
        <w:rPr>
          <w:b w:val="0"/>
          <w:color w:val="000000"/>
          <w:sz w:val="28"/>
          <w:szCs w:val="28"/>
          <w:lang w:bidi="ru-RU"/>
        </w:rPr>
      </w:pPr>
    </w:p>
    <w:p w:rsidR="00DF57D2" w:rsidRPr="005F3D8D" w:rsidRDefault="00DF57D2">
      <w:pPr>
        <w:rPr>
          <w:rFonts w:ascii="Arial" w:hAnsi="Arial" w:cs="Arial"/>
        </w:rPr>
      </w:pPr>
    </w:p>
    <w:sectPr w:rsidR="00DF57D2" w:rsidRPr="005F3D8D" w:rsidSect="0007221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04709A"/>
    <w:multiLevelType w:val="hybridMultilevel"/>
    <w:tmpl w:val="662878A8"/>
    <w:lvl w:ilvl="0" w:tplc="300A758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F9A1E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20D36F84"/>
    <w:multiLevelType w:val="hybridMultilevel"/>
    <w:tmpl w:val="9592B030"/>
    <w:lvl w:ilvl="0" w:tplc="BA361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3A4402"/>
    <w:multiLevelType w:val="hybridMultilevel"/>
    <w:tmpl w:val="E4A0699E"/>
    <w:lvl w:ilvl="0" w:tplc="AE7EA60E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30B1226E"/>
    <w:multiLevelType w:val="hybridMultilevel"/>
    <w:tmpl w:val="2120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44A89"/>
    <w:multiLevelType w:val="multilevel"/>
    <w:tmpl w:val="5D0C0E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9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2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4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72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6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936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BBA"/>
    <w:rsid w:val="00016A1E"/>
    <w:rsid w:val="00072212"/>
    <w:rsid w:val="000D57B1"/>
    <w:rsid w:val="001067EB"/>
    <w:rsid w:val="0017328D"/>
    <w:rsid w:val="001A158B"/>
    <w:rsid w:val="002E2382"/>
    <w:rsid w:val="0032667D"/>
    <w:rsid w:val="003954C0"/>
    <w:rsid w:val="003B345F"/>
    <w:rsid w:val="003E4CB6"/>
    <w:rsid w:val="00437898"/>
    <w:rsid w:val="00447F20"/>
    <w:rsid w:val="00490B74"/>
    <w:rsid w:val="00490EAE"/>
    <w:rsid w:val="004C336C"/>
    <w:rsid w:val="005367A0"/>
    <w:rsid w:val="00583EC6"/>
    <w:rsid w:val="005C1B9D"/>
    <w:rsid w:val="005F3D8D"/>
    <w:rsid w:val="0063141B"/>
    <w:rsid w:val="00651373"/>
    <w:rsid w:val="00691732"/>
    <w:rsid w:val="006B1F7A"/>
    <w:rsid w:val="006B264D"/>
    <w:rsid w:val="006C0378"/>
    <w:rsid w:val="006E0D9C"/>
    <w:rsid w:val="0076117A"/>
    <w:rsid w:val="007D0BBA"/>
    <w:rsid w:val="007E034E"/>
    <w:rsid w:val="007E6B42"/>
    <w:rsid w:val="00823FD7"/>
    <w:rsid w:val="008B33C0"/>
    <w:rsid w:val="008E752D"/>
    <w:rsid w:val="009179B8"/>
    <w:rsid w:val="00927D02"/>
    <w:rsid w:val="009C0316"/>
    <w:rsid w:val="009E6CF2"/>
    <w:rsid w:val="00A108D3"/>
    <w:rsid w:val="00A42EF9"/>
    <w:rsid w:val="00C905C9"/>
    <w:rsid w:val="00CD12FF"/>
    <w:rsid w:val="00D50C74"/>
    <w:rsid w:val="00D70D81"/>
    <w:rsid w:val="00D83881"/>
    <w:rsid w:val="00DF57D2"/>
    <w:rsid w:val="00E233A6"/>
    <w:rsid w:val="00E24BC6"/>
    <w:rsid w:val="00E26679"/>
    <w:rsid w:val="00E3287B"/>
    <w:rsid w:val="00E375AA"/>
    <w:rsid w:val="00EA43EC"/>
    <w:rsid w:val="00EC7BE8"/>
    <w:rsid w:val="00ED1478"/>
    <w:rsid w:val="00EF175D"/>
    <w:rsid w:val="00F03A0E"/>
    <w:rsid w:val="00F4624C"/>
    <w:rsid w:val="00F7498E"/>
    <w:rsid w:val="00F86C6C"/>
    <w:rsid w:val="00FE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3A33EF-7731-4623-BAD3-88B323F2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DF57D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F57D2"/>
    <w:pPr>
      <w:widowControl w:val="0"/>
      <w:shd w:val="clear" w:color="auto" w:fill="FFFFFF"/>
      <w:spacing w:after="0" w:line="326" w:lineRule="exact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1">
    <w:name w:val="Абзац списка1"/>
    <w:basedOn w:val="a"/>
    <w:rsid w:val="00DF57D2"/>
    <w:pPr>
      <w:spacing w:after="0" w:line="240" w:lineRule="atLeast"/>
      <w:ind w:left="720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rsid w:val="00DF5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DF5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accesstitle">
    <w:name w:val="docaccess_title"/>
    <w:rsid w:val="00DF57D2"/>
  </w:style>
  <w:style w:type="paragraph" w:styleId="a4">
    <w:name w:val="List Paragraph"/>
    <w:basedOn w:val="a"/>
    <w:uiPriority w:val="99"/>
    <w:qFormat/>
    <w:rsid w:val="00DF57D2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5">
    <w:name w:val="Strong"/>
    <w:uiPriority w:val="22"/>
    <w:qFormat/>
    <w:rsid w:val="00DF57D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F5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57D2"/>
    <w:rPr>
      <w:rFonts w:ascii="Tahoma" w:hAnsi="Tahoma" w:cs="Tahoma"/>
      <w:sz w:val="16"/>
      <w:szCs w:val="16"/>
    </w:rPr>
  </w:style>
  <w:style w:type="paragraph" w:styleId="a8">
    <w:name w:val="No Spacing"/>
    <w:link w:val="a9"/>
    <w:uiPriority w:val="1"/>
    <w:qFormat/>
    <w:rsid w:val="008E752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rsid w:val="008E752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0FCC-C55C-4EC9-BC7B-76590DE00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1512</Words>
  <Characters>8621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Ворожбитова Ольга Борисовна</cp:lastModifiedBy>
  <cp:revision>3</cp:revision>
  <dcterms:created xsi:type="dcterms:W3CDTF">2020-02-28T08:51:00Z</dcterms:created>
  <dcterms:modified xsi:type="dcterms:W3CDTF">2020-02-28T12:49:00Z</dcterms:modified>
</cp:coreProperties>
</file>